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022636" w:rsidRDefault="0089011C">
      <w:r>
        <w:rPr>
          <w:noProof/>
        </w:rPr>
        <mc:AlternateContent>
          <mc:Choice Requires="wpg">
            <w:drawing>
              <wp:anchor distT="0" distB="0" distL="114300" distR="114300" simplePos="0" relativeHeight="251658240" behindDoc="1" locked="0" layoutInCell="0" hidden="0" allowOverlap="1">
                <wp:simplePos x="0" y="0"/>
                <wp:positionH relativeFrom="margin">
                  <wp:posOffset>2946400</wp:posOffset>
                </wp:positionH>
                <wp:positionV relativeFrom="paragraph">
                  <wp:posOffset>-444499</wp:posOffset>
                </wp:positionV>
                <wp:extent cx="3086100" cy="1435100"/>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3803267" y="3065625"/>
                          <a:ext cx="3085464" cy="1428749"/>
                        </a:xfrm>
                        <a:prstGeom prst="rect">
                          <a:avLst/>
                        </a:prstGeom>
                        <a:noFill/>
                        <a:ln>
                          <a:noFill/>
                        </a:ln>
                      </wps:spPr>
                      <wps:txbx>
                        <w:txbxContent>
                          <w:p w:rsidR="00022636" w:rsidRDefault="0089011C">
                            <w:pPr>
                              <w:textDirection w:val="btLr"/>
                            </w:pPr>
                            <w:r>
                              <w:rPr>
                                <w:color w:val="31849B"/>
                                <w:sz w:val="40"/>
                              </w:rPr>
                              <w:t>2016 Conference</w:t>
                            </w:r>
                          </w:p>
                          <w:p w:rsidR="00022636" w:rsidRDefault="00022636">
                            <w:pPr>
                              <w:textDirection w:val="btLr"/>
                            </w:pPr>
                          </w:p>
                          <w:p w:rsidR="00022636" w:rsidRDefault="0089011C">
                            <w:pPr>
                              <w:textDirection w:val="btLr"/>
                            </w:pPr>
                            <w:r>
                              <w:rPr>
                                <w:color w:val="31849B"/>
                                <w:sz w:val="40"/>
                              </w:rPr>
                              <w:t>Ottawa</w:t>
                            </w:r>
                          </w:p>
                          <w:p w:rsidR="00022636" w:rsidRDefault="00022636">
                            <w:pPr>
                              <w:textDirection w:val="btLr"/>
                            </w:pPr>
                          </w:p>
                          <w:p w:rsidR="00022636" w:rsidRDefault="0089011C">
                            <w:pPr>
                              <w:textDirection w:val="btLr"/>
                            </w:pPr>
                            <w:r>
                              <w:rPr>
                                <w:color w:val="31849B"/>
                                <w:sz w:val="40"/>
                              </w:rPr>
                              <w:t>18 - 19 October 2016</w:t>
                            </w: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2946400</wp:posOffset>
                </wp:positionH>
                <wp:positionV relativeFrom="paragraph">
                  <wp:posOffset>-444499</wp:posOffset>
                </wp:positionV>
                <wp:extent cx="3086100" cy="1435100"/>
                <wp:effectExtent b="0" l="0" r="0" t="0"/>
                <wp:wrapSquare wrapText="bothSides" distB="0" distT="0" distL="114300" distR="114300"/>
                <wp:docPr id="4" name="image07.png"/>
                <a:graphic>
                  <a:graphicData uri="http://schemas.openxmlformats.org/drawingml/2006/picture">
                    <pic:pic>
                      <pic:nvPicPr>
                        <pic:cNvPr id="0" name="image07.png"/>
                        <pic:cNvPicPr preferRelativeResize="0"/>
                      </pic:nvPicPr>
                      <pic:blipFill>
                        <a:blip r:embed="rId8"/>
                        <a:srcRect/>
                        <a:stretch>
                          <a:fillRect/>
                        </a:stretch>
                      </pic:blipFill>
                      <pic:spPr>
                        <a:xfrm>
                          <a:off x="0" y="0"/>
                          <a:ext cx="3086100" cy="1435100"/>
                        </a:xfrm>
                        <a:prstGeom prst="rect"/>
                        <a:ln/>
                      </pic:spPr>
                    </pic:pic>
                  </a:graphicData>
                </a:graphic>
              </wp:anchor>
            </w:drawing>
          </mc:Fallback>
        </mc:AlternateContent>
      </w:r>
      <w:r>
        <w:rPr>
          <w:noProof/>
        </w:rPr>
        <w:drawing>
          <wp:anchor distT="0" distB="0" distL="114300" distR="114300" simplePos="0" relativeHeight="251659264" behindDoc="0" locked="0" layoutInCell="0" hidden="0" allowOverlap="1">
            <wp:simplePos x="0" y="0"/>
            <wp:positionH relativeFrom="margin">
              <wp:posOffset>-114297</wp:posOffset>
            </wp:positionH>
            <wp:positionV relativeFrom="paragraph">
              <wp:posOffset>-582928</wp:posOffset>
            </wp:positionV>
            <wp:extent cx="2857500" cy="161099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a:srcRect/>
                    <a:stretch>
                      <a:fillRect/>
                    </a:stretch>
                  </pic:blipFill>
                  <pic:spPr>
                    <a:xfrm>
                      <a:off x="0" y="0"/>
                      <a:ext cx="2857500" cy="1610995"/>
                    </a:xfrm>
                    <a:prstGeom prst="rect">
                      <a:avLst/>
                    </a:prstGeom>
                    <a:ln/>
                  </pic:spPr>
                </pic:pic>
              </a:graphicData>
            </a:graphic>
          </wp:anchor>
        </w:drawing>
      </w:r>
    </w:p>
    <w:p w:rsidR="00022636" w:rsidRDefault="00022636"/>
    <w:p w:rsidR="00022636" w:rsidRDefault="0089011C">
      <w:pPr>
        <w:jc w:val="center"/>
      </w:pPr>
      <w:bookmarkStart w:id="1" w:name="_gjdgxs" w:colFirst="0" w:colLast="0"/>
      <w:bookmarkEnd w:id="1"/>
      <w:r>
        <w:rPr>
          <w:b/>
          <w:sz w:val="60"/>
          <w:szCs w:val="60"/>
        </w:rPr>
        <w:t>Call for Abstracts</w:t>
      </w:r>
    </w:p>
    <w:p w:rsidR="00022636" w:rsidRDefault="00022636"/>
    <w:p w:rsidR="00022636" w:rsidRDefault="0089011C">
      <w:pPr>
        <w:jc w:val="both"/>
      </w:pPr>
      <w:r>
        <w:rPr>
          <w:rFonts w:ascii="Times New Roman" w:eastAsia="Times New Roman" w:hAnsi="Times New Roman" w:cs="Times New Roman"/>
          <w:sz w:val="23"/>
          <w:szCs w:val="23"/>
        </w:rPr>
        <w:t xml:space="preserve">Health Promotion Ontario provides a forum for students, practitioners and researchers to come together and discuss issues and ideas in and around the field of health promotion. This year’s conference will be in celebration of the </w:t>
      </w:r>
      <w:r>
        <w:rPr>
          <w:rFonts w:ascii="Times New Roman" w:eastAsia="Times New Roman" w:hAnsi="Times New Roman" w:cs="Times New Roman"/>
          <w:b/>
          <w:sz w:val="23"/>
          <w:szCs w:val="23"/>
        </w:rPr>
        <w:t>30</w:t>
      </w:r>
      <w:r>
        <w:rPr>
          <w:rFonts w:ascii="Times New Roman" w:eastAsia="Times New Roman" w:hAnsi="Times New Roman" w:cs="Times New Roman"/>
          <w:b/>
          <w:sz w:val="23"/>
          <w:szCs w:val="23"/>
          <w:vertAlign w:val="superscript"/>
        </w:rPr>
        <w:t>th</w:t>
      </w:r>
      <w:r>
        <w:rPr>
          <w:rFonts w:ascii="Times New Roman" w:eastAsia="Times New Roman" w:hAnsi="Times New Roman" w:cs="Times New Roman"/>
          <w:b/>
          <w:sz w:val="23"/>
          <w:szCs w:val="23"/>
        </w:rPr>
        <w:t xml:space="preserve"> anniversary of the Ot</w:t>
      </w:r>
      <w:r>
        <w:rPr>
          <w:rFonts w:ascii="Times New Roman" w:eastAsia="Times New Roman" w:hAnsi="Times New Roman" w:cs="Times New Roman"/>
          <w:b/>
          <w:sz w:val="23"/>
          <w:szCs w:val="23"/>
        </w:rPr>
        <w:t>tawa Charter for Health Promotion</w:t>
      </w:r>
      <w:r>
        <w:rPr>
          <w:rFonts w:ascii="Times New Roman" w:eastAsia="Times New Roman" w:hAnsi="Times New Roman" w:cs="Times New Roman"/>
          <w:sz w:val="23"/>
          <w:szCs w:val="23"/>
        </w:rPr>
        <w:t>. To focus on discussing where the profession should head in the next 30 years, we will focus on the theme of what it means to be “</w:t>
      </w:r>
      <w:r>
        <w:rPr>
          <w:rFonts w:ascii="Times New Roman" w:eastAsia="Times New Roman" w:hAnsi="Times New Roman" w:cs="Times New Roman"/>
          <w:b/>
          <w:sz w:val="23"/>
          <w:szCs w:val="23"/>
          <w:u w:val="single"/>
        </w:rPr>
        <w:t>Pushing</w:t>
      </w:r>
      <w:r>
        <w:rPr>
          <w:rFonts w:ascii="Times New Roman" w:eastAsia="Times New Roman" w:hAnsi="Times New Roman" w:cs="Times New Roman"/>
          <w:b/>
          <w:sz w:val="23"/>
          <w:szCs w:val="23"/>
        </w:rPr>
        <w:t xml:space="preserve"> </w:t>
      </w:r>
      <w:r>
        <w:rPr>
          <w:rFonts w:ascii="Times New Roman" w:eastAsia="Times New Roman" w:hAnsi="Times New Roman" w:cs="Times New Roman"/>
          <w:b/>
          <w:sz w:val="23"/>
          <w:szCs w:val="23"/>
          <w:u w:val="single"/>
        </w:rPr>
        <w:t>Boundaries</w:t>
      </w:r>
      <w:r>
        <w:rPr>
          <w:rFonts w:ascii="Times New Roman" w:eastAsia="Times New Roman" w:hAnsi="Times New Roman" w:cs="Times New Roman"/>
          <w:sz w:val="23"/>
          <w:szCs w:val="23"/>
        </w:rPr>
        <w:t>” in our practice. We will be exploring the importance of political, secto</w:t>
      </w:r>
      <w:r>
        <w:rPr>
          <w:rFonts w:ascii="Times New Roman" w:eastAsia="Times New Roman" w:hAnsi="Times New Roman" w:cs="Times New Roman"/>
          <w:sz w:val="23"/>
          <w:szCs w:val="23"/>
        </w:rPr>
        <w:t>ral, disciplinary, methodological, institutional, and personal actions. What are the consequences of being risk averse? Accordingly, we are inviting presenters from various fields with diverse perspectives, to present work that enacts the strategies and ac</w:t>
      </w:r>
      <w:r>
        <w:rPr>
          <w:rFonts w:ascii="Times New Roman" w:eastAsia="Times New Roman" w:hAnsi="Times New Roman" w:cs="Times New Roman"/>
          <w:sz w:val="23"/>
          <w:szCs w:val="23"/>
        </w:rPr>
        <w:t xml:space="preserve">tions of the Ottawa Charter and helps us to look to the future. </w:t>
      </w:r>
    </w:p>
    <w:p w:rsidR="00022636" w:rsidRDefault="00022636"/>
    <w:p w:rsidR="00022636" w:rsidRDefault="00022636"/>
    <w:p w:rsidR="00022636" w:rsidRDefault="0089011C">
      <w:r>
        <w:rPr>
          <w:noProof/>
        </w:rPr>
        <mc:AlternateContent>
          <mc:Choice Requires="wpg">
            <w:drawing>
              <wp:anchor distT="0" distB="0" distL="114300" distR="114300" simplePos="0" relativeHeight="251660288" behindDoc="0" locked="0" layoutInCell="0" hidden="0" allowOverlap="1">
                <wp:simplePos x="0" y="0"/>
                <wp:positionH relativeFrom="margin">
                  <wp:posOffset>-12699</wp:posOffset>
                </wp:positionH>
                <wp:positionV relativeFrom="paragraph">
                  <wp:posOffset>-12699</wp:posOffset>
                </wp:positionV>
                <wp:extent cx="5511800" cy="50800"/>
                <wp:effectExtent l="0" t="0" r="0" b="0"/>
                <wp:wrapNone/>
                <wp:docPr id="3" name="Straight Arrow Connector 3"/>
                <wp:cNvGraphicFramePr/>
                <a:graphic xmlns:a="http://schemas.openxmlformats.org/drawingml/2006/main">
                  <a:graphicData uri="http://schemas.microsoft.com/office/word/2010/wordprocessingShape">
                    <wps:wsp>
                      <wps:cNvCnPr/>
                      <wps:spPr>
                        <a:xfrm>
                          <a:off x="2602800" y="3780000"/>
                          <a:ext cx="5486399" cy="0"/>
                        </a:xfrm>
                        <a:prstGeom prst="straightConnector1">
                          <a:avLst/>
                        </a:prstGeom>
                        <a:noFill/>
                        <a:ln w="25400" cap="flat" cmpd="sng">
                          <a:solidFill>
                            <a:srgbClr val="7F7F7F"/>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-12699</wp:posOffset>
                </wp:positionH>
                <wp:positionV relativeFrom="paragraph">
                  <wp:posOffset>-12699</wp:posOffset>
                </wp:positionV>
                <wp:extent cx="5511800" cy="50800"/>
                <wp:effectExtent b="0" l="0" r="0" t="0"/>
                <wp:wrapNone/>
                <wp:docPr id="3" name="image05.png"/>
                <a:graphic>
                  <a:graphicData uri="http://schemas.openxmlformats.org/drawingml/2006/picture">
                    <pic:pic>
                      <pic:nvPicPr>
                        <pic:cNvPr id="0" name="image05.png"/>
                        <pic:cNvPicPr preferRelativeResize="0"/>
                      </pic:nvPicPr>
                      <pic:blipFill>
                        <a:blip r:embed="rId10"/>
                        <a:srcRect/>
                        <a:stretch>
                          <a:fillRect/>
                        </a:stretch>
                      </pic:blipFill>
                      <pic:spPr>
                        <a:xfrm>
                          <a:off x="0" y="0"/>
                          <a:ext cx="5511800" cy="50800"/>
                        </a:xfrm>
                        <a:prstGeom prst="rect"/>
                        <a:ln/>
                      </pic:spPr>
                    </pic:pic>
                  </a:graphicData>
                </a:graphic>
              </wp:anchor>
            </w:drawing>
          </mc:Fallback>
        </mc:AlternateContent>
      </w:r>
    </w:p>
    <w:p w:rsidR="00022636" w:rsidRDefault="0089011C">
      <w:r>
        <w:rPr>
          <w:noProof/>
        </w:rPr>
        <w:drawing>
          <wp:anchor distT="0" distB="0" distL="114300" distR="114300" simplePos="0" relativeHeight="251661312" behindDoc="0" locked="0" layoutInCell="0" hidden="0" allowOverlap="1">
            <wp:simplePos x="0" y="0"/>
            <wp:positionH relativeFrom="margin">
              <wp:posOffset>1019175</wp:posOffset>
            </wp:positionH>
            <wp:positionV relativeFrom="paragraph">
              <wp:posOffset>114300</wp:posOffset>
            </wp:positionV>
            <wp:extent cx="3319463" cy="1978266"/>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1"/>
                    <a:srcRect/>
                    <a:stretch>
                      <a:fillRect/>
                    </a:stretch>
                  </pic:blipFill>
                  <pic:spPr>
                    <a:xfrm>
                      <a:off x="0" y="0"/>
                      <a:ext cx="3319463" cy="1978266"/>
                    </a:xfrm>
                    <a:prstGeom prst="rect">
                      <a:avLst/>
                    </a:prstGeom>
                    <a:ln/>
                  </pic:spPr>
                </pic:pic>
              </a:graphicData>
            </a:graphic>
          </wp:anchor>
        </w:drawing>
      </w:r>
    </w:p>
    <w:p w:rsidR="00022636" w:rsidRDefault="00022636"/>
    <w:p w:rsidR="00022636" w:rsidRDefault="00022636"/>
    <w:p w:rsidR="00022636" w:rsidRDefault="00022636"/>
    <w:p w:rsidR="00022636" w:rsidRDefault="00022636"/>
    <w:p w:rsidR="00022636" w:rsidRDefault="00022636"/>
    <w:p w:rsidR="00022636" w:rsidRDefault="00022636"/>
    <w:p w:rsidR="00022636" w:rsidRDefault="00022636"/>
    <w:p w:rsidR="00022636" w:rsidRDefault="00022636"/>
    <w:p w:rsidR="00022636" w:rsidRDefault="00022636"/>
    <w:p w:rsidR="00022636" w:rsidRDefault="00022636"/>
    <w:p w:rsidR="00022636" w:rsidRDefault="00022636"/>
    <w:p w:rsidR="00022636" w:rsidRDefault="00022636"/>
    <w:p w:rsidR="00022636" w:rsidRDefault="0089011C">
      <w:r>
        <w:rPr>
          <w:b/>
        </w:rPr>
        <w:t>ABSTRACT SUBMISSION</w:t>
      </w:r>
    </w:p>
    <w:p w:rsidR="00022636" w:rsidRDefault="0089011C">
      <w:r>
        <w:t xml:space="preserve">Abstracts must be submitted via e-mail to: </w:t>
      </w:r>
      <w:hyperlink r:id="rId12">
        <w:r>
          <w:rPr>
            <w:color w:val="0000FF"/>
            <w:u w:val="single"/>
          </w:rPr>
          <w:t>ketan.shankardass@gmail.com</w:t>
        </w:r>
      </w:hyperlink>
      <w:r>
        <w:t xml:space="preserve"> and </w:t>
      </w:r>
      <w:hyperlink r:id="rId13">
        <w:r>
          <w:rPr>
            <w:color w:val="0000FF"/>
            <w:u w:val="single"/>
          </w:rPr>
          <w:t>mandy.vaiya@peelregion.ca</w:t>
        </w:r>
      </w:hyperlink>
      <w:r>
        <w:t xml:space="preserve"> as an attachment in MS Word format, including a title, list of authors (under the presenting author), unit or department where the work was carried out, and funding support (where </w:t>
      </w:r>
      <w:r>
        <w:t>appropriate) at the end of the abstract. Abstracts must be no more than 500 words in length. Please indicate the research &amp; practice theme(s) most relevant to your abstract at the end of your submission. Please also indicate the type of presentation you wo</w:t>
      </w:r>
      <w:r>
        <w:t xml:space="preserve">uld like to deliver. </w:t>
      </w:r>
    </w:p>
    <w:p w:rsidR="00022636" w:rsidRDefault="0089011C">
      <w:r>
        <w:rPr>
          <w:b/>
        </w:rPr>
        <w:t>RESEARCH &amp; PRACTICE THEMES</w:t>
      </w:r>
    </w:p>
    <w:p w:rsidR="00022636" w:rsidRDefault="00022636"/>
    <w:p w:rsidR="00022636" w:rsidRDefault="0089011C">
      <w:r>
        <w:rPr>
          <w:i/>
        </w:rPr>
        <w:t xml:space="preserve">We are seeking submissions around strategies and actions of the Ottawa Charter for Health Promotion, specifically as they pertain to “pushing boundaries” in the field – in practice and research. </w:t>
      </w:r>
    </w:p>
    <w:p w:rsidR="00022636" w:rsidRDefault="00022636"/>
    <w:tbl>
      <w:tblPr>
        <w:tblStyle w:val="a"/>
        <w:tblW w:w="7290" w:type="dxa"/>
        <w:jc w:val="center"/>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5085"/>
      </w:tblGrid>
      <w:tr w:rsidR="00022636">
        <w:trPr>
          <w:jc w:val="center"/>
        </w:trPr>
        <w:tc>
          <w:tcPr>
            <w:tcW w:w="2205" w:type="dxa"/>
            <w:tcMar>
              <w:top w:w="100" w:type="dxa"/>
              <w:left w:w="100" w:type="dxa"/>
              <w:bottom w:w="100" w:type="dxa"/>
              <w:right w:w="100" w:type="dxa"/>
            </w:tcMar>
          </w:tcPr>
          <w:p w:rsidR="00022636" w:rsidRDefault="0089011C">
            <w:pPr>
              <w:contextualSpacing w:val="0"/>
            </w:pPr>
            <w:r>
              <w:rPr>
                <w:i/>
              </w:rPr>
              <w:t xml:space="preserve">         </w:t>
            </w:r>
            <w:r>
              <w:rPr>
                <w:i/>
              </w:rPr>
              <w:t xml:space="preserve">    </w:t>
            </w:r>
            <w:r>
              <w:rPr>
                <w:i/>
                <w:u w:val="single"/>
              </w:rPr>
              <w:t>Strategies</w:t>
            </w:r>
          </w:p>
          <w:p w:rsidR="00022636" w:rsidRDefault="00022636">
            <w:pPr>
              <w:contextualSpacing w:val="0"/>
            </w:pPr>
          </w:p>
          <w:p w:rsidR="00022636" w:rsidRDefault="0089011C">
            <w:pPr>
              <w:numPr>
                <w:ilvl w:val="0"/>
                <w:numId w:val="2"/>
              </w:numPr>
              <w:ind w:hanging="360"/>
            </w:pPr>
            <w:r>
              <w:t>Advocate</w:t>
            </w:r>
          </w:p>
          <w:p w:rsidR="00022636" w:rsidRDefault="0089011C">
            <w:pPr>
              <w:numPr>
                <w:ilvl w:val="0"/>
                <w:numId w:val="2"/>
              </w:numPr>
              <w:ind w:hanging="360"/>
            </w:pPr>
            <w:r>
              <w:t>Enable</w:t>
            </w:r>
          </w:p>
          <w:p w:rsidR="00022636" w:rsidRDefault="0089011C">
            <w:pPr>
              <w:numPr>
                <w:ilvl w:val="0"/>
                <w:numId w:val="2"/>
              </w:numPr>
              <w:ind w:hanging="360"/>
            </w:pPr>
            <w:r>
              <w:t>Mediate</w:t>
            </w:r>
          </w:p>
        </w:tc>
        <w:tc>
          <w:tcPr>
            <w:tcW w:w="5085" w:type="dxa"/>
            <w:tcMar>
              <w:top w:w="100" w:type="dxa"/>
              <w:left w:w="100" w:type="dxa"/>
              <w:bottom w:w="100" w:type="dxa"/>
              <w:right w:w="100" w:type="dxa"/>
            </w:tcMar>
          </w:tcPr>
          <w:p w:rsidR="00022636" w:rsidRDefault="0089011C">
            <w:pPr>
              <w:contextualSpacing w:val="0"/>
              <w:jc w:val="center"/>
            </w:pPr>
            <w:r>
              <w:rPr>
                <w:i/>
                <w:u w:val="single"/>
              </w:rPr>
              <w:t>Actions</w:t>
            </w:r>
          </w:p>
          <w:p w:rsidR="00022636" w:rsidRDefault="00022636">
            <w:pPr>
              <w:contextualSpacing w:val="0"/>
              <w:jc w:val="center"/>
            </w:pPr>
          </w:p>
          <w:p w:rsidR="00022636" w:rsidRDefault="0089011C">
            <w:pPr>
              <w:numPr>
                <w:ilvl w:val="0"/>
                <w:numId w:val="1"/>
              </w:numPr>
              <w:ind w:left="720" w:hanging="360"/>
            </w:pPr>
            <w:r>
              <w:t>Building healthy public policy</w:t>
            </w:r>
          </w:p>
          <w:p w:rsidR="00022636" w:rsidRDefault="0089011C">
            <w:pPr>
              <w:numPr>
                <w:ilvl w:val="0"/>
                <w:numId w:val="1"/>
              </w:numPr>
              <w:ind w:left="720" w:hanging="360"/>
            </w:pPr>
            <w:r>
              <w:t>Creating supportive environments</w:t>
            </w:r>
          </w:p>
          <w:p w:rsidR="00022636" w:rsidRDefault="0089011C">
            <w:pPr>
              <w:numPr>
                <w:ilvl w:val="0"/>
                <w:numId w:val="1"/>
              </w:numPr>
              <w:ind w:left="720" w:hanging="360"/>
            </w:pPr>
            <w:r>
              <w:t>Strengthening community action</w:t>
            </w:r>
          </w:p>
          <w:p w:rsidR="00022636" w:rsidRDefault="0089011C">
            <w:pPr>
              <w:numPr>
                <w:ilvl w:val="0"/>
                <w:numId w:val="1"/>
              </w:numPr>
              <w:ind w:left="720" w:hanging="360"/>
            </w:pPr>
            <w:r>
              <w:t>Developing personal skills</w:t>
            </w:r>
          </w:p>
          <w:p w:rsidR="00022636" w:rsidRDefault="0089011C">
            <w:pPr>
              <w:numPr>
                <w:ilvl w:val="0"/>
                <w:numId w:val="1"/>
              </w:numPr>
              <w:ind w:left="720" w:hanging="360"/>
            </w:pPr>
            <w:r>
              <w:t xml:space="preserve">Reorienting health care services toward </w:t>
            </w:r>
          </w:p>
          <w:p w:rsidR="00022636" w:rsidRDefault="0089011C">
            <w:pPr>
              <w:ind w:firstLine="720"/>
              <w:contextualSpacing w:val="0"/>
            </w:pPr>
            <w:r>
              <w:t>prevention and health promotion</w:t>
            </w:r>
          </w:p>
        </w:tc>
      </w:tr>
    </w:tbl>
    <w:p w:rsidR="00022636" w:rsidRDefault="0089011C">
      <w:pPr>
        <w:spacing w:before="120"/>
      </w:pPr>
      <w:hyperlink r:id="rId14">
        <w:r>
          <w:rPr>
            <w:i/>
            <w:color w:val="1155CC"/>
            <w:u w:val="single"/>
          </w:rPr>
          <w:t>http://www.phac-aspc.gc.ca/ph-sp/docs/charter-chartre/pdf/charter.pdf</w:t>
        </w:r>
      </w:hyperlink>
      <w:r>
        <w:rPr>
          <w:i/>
        </w:rPr>
        <w:t xml:space="preserve"> </w:t>
      </w:r>
    </w:p>
    <w:p w:rsidR="00022636" w:rsidRDefault="00022636"/>
    <w:p w:rsidR="00022636" w:rsidRDefault="0089011C">
      <w:r>
        <w:rPr>
          <w:b/>
        </w:rPr>
        <w:t>TYPES OF PRESENTATIONS</w:t>
      </w:r>
    </w:p>
    <w:p w:rsidR="00022636" w:rsidRDefault="00022636"/>
    <w:p w:rsidR="00022636" w:rsidRDefault="0089011C">
      <w:r>
        <w:rPr>
          <w:b/>
          <w:i/>
        </w:rPr>
        <w:t>90 Minute Workshop</w:t>
      </w:r>
    </w:p>
    <w:p w:rsidR="00022636" w:rsidRDefault="0089011C">
      <w:r>
        <w:t>Format description: Workshops will be 90 minutes in le</w:t>
      </w:r>
      <w:r>
        <w:t>ngth including time for discussion and questions, and will allow for a presenter or team of presenters to provide skill development, professional development, or a more in-depth presentation relevant to the research or practice themes seen below. The forma</w:t>
      </w:r>
      <w:r>
        <w:t>t must be interactive and allow a significant amount of audience participation.</w:t>
      </w:r>
    </w:p>
    <w:p w:rsidR="00022636" w:rsidRDefault="00022636"/>
    <w:p w:rsidR="00022636" w:rsidRDefault="0089011C">
      <w:r>
        <w:rPr>
          <w:b/>
          <w:i/>
        </w:rPr>
        <w:t>Poster Presentation</w:t>
      </w:r>
    </w:p>
    <w:p w:rsidR="00022636" w:rsidRDefault="0089011C">
      <w:r>
        <w:t>Format description: Accepted posters with similar themes will be grouped together, and an author will be asked to present a 5 minute summary of their poste</w:t>
      </w:r>
      <w:r>
        <w:t xml:space="preserve">r. Poster presentations will take place on October 19, 2016. </w:t>
      </w:r>
    </w:p>
    <w:p w:rsidR="00022636" w:rsidRDefault="00022636"/>
    <w:p w:rsidR="00022636" w:rsidRDefault="0089011C">
      <w:r>
        <w:rPr>
          <w:b/>
          <w:i/>
        </w:rPr>
        <w:t>15 Minute Research Presentation</w:t>
      </w:r>
    </w:p>
    <w:p w:rsidR="00022636" w:rsidRDefault="0089011C">
      <w:r>
        <w:t xml:space="preserve">Format description: A concurrent session will consist of no more than four different concurrent presentations each being 15 minutes </w:t>
      </w:r>
      <w:proofErr w:type="gramStart"/>
      <w:r>
        <w:t>maximum</w:t>
      </w:r>
      <w:proofErr w:type="gramEnd"/>
      <w:r>
        <w:t>. It is recommended th</w:t>
      </w:r>
      <w:r>
        <w:t>at concurrent presentations include a maximum of two presenters, through additional team members may be available to respond. Presentations should focus on the research and practice themes seen below.</w:t>
      </w:r>
    </w:p>
    <w:p w:rsidR="00022636" w:rsidRDefault="00022636">
      <w:bookmarkStart w:id="2" w:name="_30j0zll" w:colFirst="0" w:colLast="0"/>
      <w:bookmarkEnd w:id="2"/>
    </w:p>
    <w:p w:rsidR="00022636" w:rsidRDefault="0089011C">
      <w:r>
        <w:rPr>
          <w:b/>
        </w:rPr>
        <w:t xml:space="preserve">DEADLINE FOR ABSTRACT SUBMISSION:   </w:t>
      </w:r>
      <w:r>
        <w:rPr>
          <w:b/>
          <w:color w:val="FF0000"/>
          <w:sz w:val="28"/>
          <w:szCs w:val="28"/>
        </w:rPr>
        <w:t>Extended ~ Sept. 8</w:t>
      </w:r>
      <w:r>
        <w:rPr>
          <w:b/>
          <w:color w:val="FF0000"/>
          <w:sz w:val="28"/>
          <w:szCs w:val="28"/>
          <w:vertAlign w:val="superscript"/>
        </w:rPr>
        <w:t>th</w:t>
      </w:r>
      <w:r>
        <w:rPr>
          <w:b/>
          <w:color w:val="FF0000"/>
          <w:sz w:val="28"/>
          <w:szCs w:val="28"/>
        </w:rPr>
        <w:t>, 2016</w:t>
      </w:r>
    </w:p>
    <w:p w:rsidR="00022636" w:rsidRDefault="00022636"/>
    <w:p w:rsidR="00022636" w:rsidRDefault="0089011C">
      <w:r>
        <w:rPr>
          <w:b/>
        </w:rPr>
        <w:t xml:space="preserve">Notice: </w:t>
      </w:r>
      <w:r>
        <w:t xml:space="preserve">You will receive notice of acceptance within 4 weeks of submission. </w:t>
      </w:r>
    </w:p>
    <w:p w:rsidR="00022636" w:rsidRDefault="00022636"/>
    <w:tbl>
      <w:tblPr>
        <w:tblStyle w:val="a0"/>
        <w:tblW w:w="8640" w:type="dxa"/>
        <w:tblInd w:w="-100" w:type="dxa"/>
        <w:tblBorders>
          <w:top w:val="single" w:sz="12" w:space="0" w:color="9900FF"/>
          <w:left w:val="single" w:sz="12" w:space="0" w:color="9900FF"/>
          <w:bottom w:val="single" w:sz="12" w:space="0" w:color="9900FF"/>
          <w:right w:val="single" w:sz="12" w:space="0" w:color="9900FF"/>
          <w:insideH w:val="single" w:sz="12" w:space="0" w:color="9900FF"/>
          <w:insideV w:val="single" w:sz="12" w:space="0" w:color="9900FF"/>
        </w:tblBorders>
        <w:tblLayout w:type="fixed"/>
        <w:tblLook w:val="0600" w:firstRow="0" w:lastRow="0" w:firstColumn="0" w:lastColumn="0" w:noHBand="1" w:noVBand="1"/>
      </w:tblPr>
      <w:tblGrid>
        <w:gridCol w:w="8640"/>
      </w:tblGrid>
      <w:tr w:rsidR="00022636">
        <w:tc>
          <w:tcPr>
            <w:tcW w:w="8640" w:type="dxa"/>
            <w:tcMar>
              <w:top w:w="100" w:type="dxa"/>
              <w:left w:w="100" w:type="dxa"/>
              <w:bottom w:w="100" w:type="dxa"/>
              <w:right w:w="100" w:type="dxa"/>
            </w:tcMar>
          </w:tcPr>
          <w:p w:rsidR="00022636" w:rsidRDefault="0089011C">
            <w:pPr>
              <w:widowControl w:val="0"/>
              <w:contextualSpacing w:val="0"/>
              <w:jc w:val="center"/>
            </w:pPr>
            <w:r>
              <w:rPr>
                <w:b/>
              </w:rPr>
              <w:t>HPO is unable to cover the costs of registration for presenters. Presenters are required to pay for their own registration for HPO Conference.</w:t>
            </w:r>
          </w:p>
        </w:tc>
      </w:tr>
    </w:tbl>
    <w:p w:rsidR="00022636" w:rsidRDefault="00022636"/>
    <w:sectPr w:rsidR="00022636">
      <w:headerReference w:type="default" r:id="rId15"/>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11C" w:rsidRDefault="0089011C">
      <w:r>
        <w:separator/>
      </w:r>
    </w:p>
  </w:endnote>
  <w:endnote w:type="continuationSeparator" w:id="0">
    <w:p w:rsidR="0089011C" w:rsidRDefault="0089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11C" w:rsidRDefault="0089011C">
      <w:r>
        <w:separator/>
      </w:r>
    </w:p>
  </w:footnote>
  <w:footnote w:type="continuationSeparator" w:id="0">
    <w:p w:rsidR="0089011C" w:rsidRDefault="00890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636" w:rsidRDefault="000226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541CE"/>
    <w:multiLevelType w:val="multilevel"/>
    <w:tmpl w:val="5A62CD7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650079E7"/>
    <w:multiLevelType w:val="multilevel"/>
    <w:tmpl w:val="BEEAA594"/>
    <w:lvl w:ilvl="0">
      <w:start w:val="1"/>
      <w:numFmt w:val="bullet"/>
      <w:lvlText w:val="●"/>
      <w:lvlJc w:val="left"/>
      <w:pPr>
        <w:ind w:left="2880" w:firstLine="5400"/>
      </w:pPr>
      <w:rPr>
        <w:rFonts w:ascii="Arial" w:eastAsia="Arial" w:hAnsi="Arial" w:cs="Arial"/>
        <w:u w:val="none"/>
      </w:rPr>
    </w:lvl>
    <w:lvl w:ilvl="1">
      <w:start w:val="1"/>
      <w:numFmt w:val="bullet"/>
      <w:lvlText w:val="○"/>
      <w:lvlJc w:val="left"/>
      <w:pPr>
        <w:ind w:left="3600" w:firstLine="6840"/>
      </w:pPr>
      <w:rPr>
        <w:rFonts w:ascii="Arial" w:eastAsia="Arial" w:hAnsi="Arial" w:cs="Arial"/>
        <w:u w:val="none"/>
      </w:rPr>
    </w:lvl>
    <w:lvl w:ilvl="2">
      <w:start w:val="1"/>
      <w:numFmt w:val="bullet"/>
      <w:lvlText w:val="■"/>
      <w:lvlJc w:val="left"/>
      <w:pPr>
        <w:ind w:left="4320" w:firstLine="8280"/>
      </w:pPr>
      <w:rPr>
        <w:rFonts w:ascii="Arial" w:eastAsia="Arial" w:hAnsi="Arial" w:cs="Arial"/>
        <w:u w:val="none"/>
      </w:rPr>
    </w:lvl>
    <w:lvl w:ilvl="3">
      <w:start w:val="1"/>
      <w:numFmt w:val="bullet"/>
      <w:lvlText w:val="●"/>
      <w:lvlJc w:val="left"/>
      <w:pPr>
        <w:ind w:left="5040" w:firstLine="9720"/>
      </w:pPr>
      <w:rPr>
        <w:rFonts w:ascii="Arial" w:eastAsia="Arial" w:hAnsi="Arial" w:cs="Arial"/>
        <w:u w:val="none"/>
      </w:rPr>
    </w:lvl>
    <w:lvl w:ilvl="4">
      <w:start w:val="1"/>
      <w:numFmt w:val="bullet"/>
      <w:lvlText w:val="○"/>
      <w:lvlJc w:val="left"/>
      <w:pPr>
        <w:ind w:left="5760" w:firstLine="11160"/>
      </w:pPr>
      <w:rPr>
        <w:rFonts w:ascii="Arial" w:eastAsia="Arial" w:hAnsi="Arial" w:cs="Arial"/>
        <w:u w:val="none"/>
      </w:rPr>
    </w:lvl>
    <w:lvl w:ilvl="5">
      <w:start w:val="1"/>
      <w:numFmt w:val="bullet"/>
      <w:lvlText w:val="■"/>
      <w:lvlJc w:val="left"/>
      <w:pPr>
        <w:ind w:left="6480" w:firstLine="12600"/>
      </w:pPr>
      <w:rPr>
        <w:rFonts w:ascii="Arial" w:eastAsia="Arial" w:hAnsi="Arial" w:cs="Arial"/>
        <w:u w:val="none"/>
      </w:rPr>
    </w:lvl>
    <w:lvl w:ilvl="6">
      <w:start w:val="1"/>
      <w:numFmt w:val="bullet"/>
      <w:lvlText w:val="●"/>
      <w:lvlJc w:val="left"/>
      <w:pPr>
        <w:ind w:left="7200" w:firstLine="14040"/>
      </w:pPr>
      <w:rPr>
        <w:rFonts w:ascii="Arial" w:eastAsia="Arial" w:hAnsi="Arial" w:cs="Arial"/>
        <w:u w:val="none"/>
      </w:rPr>
    </w:lvl>
    <w:lvl w:ilvl="7">
      <w:start w:val="1"/>
      <w:numFmt w:val="bullet"/>
      <w:lvlText w:val="○"/>
      <w:lvlJc w:val="left"/>
      <w:pPr>
        <w:ind w:left="7920" w:firstLine="15480"/>
      </w:pPr>
      <w:rPr>
        <w:rFonts w:ascii="Arial" w:eastAsia="Arial" w:hAnsi="Arial" w:cs="Arial"/>
        <w:u w:val="none"/>
      </w:rPr>
    </w:lvl>
    <w:lvl w:ilvl="8">
      <w:start w:val="1"/>
      <w:numFmt w:val="bullet"/>
      <w:lvlText w:val="■"/>
      <w:lvlJc w:val="left"/>
      <w:pPr>
        <w:ind w:left="8640" w:firstLine="16920"/>
      </w:pPr>
      <w:rPr>
        <w:rFonts w:ascii="Arial" w:eastAsia="Arial" w:hAnsi="Arial" w:cs="Arial"/>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22636"/>
    <w:rsid w:val="00022636"/>
    <w:rsid w:val="00124123"/>
    <w:rsid w:val="008901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07.png"/><Relationship Id="rId13" Type="http://schemas.openxmlformats.org/officeDocument/2006/relationships/hyperlink" Target="mailto:mandy.vaiya@peelregion.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etan.shankardass@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05.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phac-aspc.gc.ca/ph-sp/docs/charter-chartre/pdf/char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Hamilton</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Thomas</dc:creator>
  <cp:lastModifiedBy>4700</cp:lastModifiedBy>
  <cp:revision>2</cp:revision>
  <dcterms:created xsi:type="dcterms:W3CDTF">2016-09-06T15:55:00Z</dcterms:created>
  <dcterms:modified xsi:type="dcterms:W3CDTF">2016-09-06T15:55:00Z</dcterms:modified>
</cp:coreProperties>
</file>