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3F50" w14:textId="77777777" w:rsidR="006426F6" w:rsidRPr="008E56F9" w:rsidRDefault="006426F6" w:rsidP="006426F6">
      <w:pPr>
        <w:pStyle w:val="NoSpacing"/>
        <w:jc w:val="center"/>
        <w:rPr>
          <w:rFonts w:cs="Arial"/>
          <w:b/>
          <w:sz w:val="28"/>
        </w:rPr>
      </w:pPr>
      <w:bookmarkStart w:id="0" w:name="_GoBack"/>
      <w:bookmarkEnd w:id="0"/>
      <w:r w:rsidRPr="008E56F9">
        <w:rPr>
          <w:rFonts w:cs="Arial"/>
          <w:b/>
          <w:sz w:val="28"/>
        </w:rPr>
        <w:t>Pan-Canadian Health Promoter Competencies’ Toolkit:</w:t>
      </w:r>
    </w:p>
    <w:p w14:paraId="1E4FE690" w14:textId="77777777" w:rsidR="006426F6" w:rsidRPr="00ED7A49" w:rsidRDefault="006426F6" w:rsidP="006426F6">
      <w:pPr>
        <w:pStyle w:val="NoSpacing"/>
        <w:jc w:val="center"/>
        <w:rPr>
          <w:rFonts w:cs="Arial"/>
          <w:b/>
          <w:sz w:val="24"/>
          <w:szCs w:val="32"/>
        </w:rPr>
      </w:pPr>
      <w:r w:rsidRPr="008E56F9">
        <w:rPr>
          <w:rFonts w:cs="Arial"/>
          <w:b/>
          <w:sz w:val="32"/>
          <w:szCs w:val="32"/>
        </w:rPr>
        <w:t>Self-Assessment Tool</w:t>
      </w:r>
    </w:p>
    <w:p w14:paraId="7A4CD795" w14:textId="77777777" w:rsidR="00ED7A49" w:rsidRDefault="00ED7A49" w:rsidP="00ED7A49">
      <w:pPr>
        <w:pStyle w:val="NoSpacing"/>
      </w:pPr>
    </w:p>
    <w:p w14:paraId="70F774F3" w14:textId="77777777" w:rsidR="006D4CF3" w:rsidRPr="00ED7A49" w:rsidRDefault="006D4CF3" w:rsidP="00ED7A49">
      <w:pPr>
        <w:pStyle w:val="NoSpacing"/>
        <w:rPr>
          <w:b/>
        </w:rPr>
      </w:pPr>
      <w:r w:rsidRPr="00ED7A49">
        <w:rPr>
          <w:b/>
        </w:rPr>
        <w:t>Introduction</w:t>
      </w:r>
    </w:p>
    <w:p w14:paraId="604E7800" w14:textId="77777777" w:rsidR="00FE4040" w:rsidRDefault="00FE4040" w:rsidP="006D4CF3">
      <w:r>
        <w:t>Pursuing lifelong learning is a core competency of health promotion practitioners. This tool, developed by the Pan-Canadian Health Promoter Competencies initiative, is intended as a career development tool to assist practitioners to identify their strengths, as well as potential areas for further development.</w:t>
      </w:r>
      <w:r>
        <w:rPr>
          <w:rStyle w:val="FootnoteReference"/>
        </w:rPr>
        <w:footnoteReference w:id="1"/>
      </w:r>
      <w:r>
        <w:t xml:space="preserve"> Such development may be intended to increase your performance in your current position and/or in preparation for a future position to which you aspire. </w:t>
      </w:r>
    </w:p>
    <w:p w14:paraId="3D5E7D3B" w14:textId="77777777" w:rsidR="00FE4040" w:rsidRDefault="00FE4040" w:rsidP="006D4CF3">
      <w:r>
        <w:t>This self-assessment tool is comprised of three sections. Section 1 involves a self-assessment based on the Pan-Canadian Health Promoter Competencies. Section 2 provides a summary template to identify strengths and areas for potential development. Section 3 provides a template to develop a learning plan to address priority development areas. This includes a link to ideas for learning development strategies including those beyond formal training such as involvement in or leading a project, preparing and presenting a report to management, as well as volunteering for a professional association or non-governmental organization.</w:t>
      </w:r>
    </w:p>
    <w:p w14:paraId="6CF7031E" w14:textId="77777777" w:rsidR="001C5604" w:rsidRPr="006426F6" w:rsidRDefault="001C5604" w:rsidP="001C5604">
      <w:pPr>
        <w:pStyle w:val="Heading1"/>
      </w:pPr>
      <w:r w:rsidRPr="006426F6">
        <w:t>Instructions</w:t>
      </w:r>
    </w:p>
    <w:p w14:paraId="5B3F8910" w14:textId="77777777" w:rsidR="001C5604" w:rsidRPr="006426F6" w:rsidRDefault="001C5604" w:rsidP="001C5604">
      <w:pPr>
        <w:pStyle w:val="ListParagraph"/>
        <w:numPr>
          <w:ilvl w:val="0"/>
          <w:numId w:val="2"/>
        </w:numPr>
      </w:pPr>
      <w:r w:rsidRPr="006426F6">
        <w:t xml:space="preserve">Have the </w:t>
      </w:r>
      <w:r w:rsidRPr="000C459E">
        <w:t>Health Promoter Position Profil</w:t>
      </w:r>
      <w:r w:rsidR="000C459E">
        <w:t xml:space="preserve">e </w:t>
      </w:r>
      <w:r w:rsidRPr="006426F6">
        <w:t xml:space="preserve">available since it provides </w:t>
      </w:r>
      <w:r w:rsidR="00C01801" w:rsidRPr="006426F6">
        <w:t xml:space="preserve">examples of proficiency levels for each </w:t>
      </w:r>
      <w:r w:rsidRPr="006426F6">
        <w:t>specific competency statements</w:t>
      </w:r>
      <w:r w:rsidR="00C01801" w:rsidRPr="006426F6">
        <w:t>, as well as the glossary</w:t>
      </w:r>
      <w:r w:rsidR="00647A3A" w:rsidRPr="006426F6">
        <w:t xml:space="preserve"> for terms utilized in the competency statements</w:t>
      </w:r>
      <w:r w:rsidRPr="006426F6">
        <w:t>.</w:t>
      </w:r>
    </w:p>
    <w:p w14:paraId="2F7A0BB2" w14:textId="77777777" w:rsidR="001C5604" w:rsidRPr="006426F6" w:rsidRDefault="00CD59BA" w:rsidP="001C5604">
      <w:pPr>
        <w:pStyle w:val="ListParagraph"/>
        <w:numPr>
          <w:ilvl w:val="0"/>
          <w:numId w:val="2"/>
        </w:numPr>
      </w:pPr>
      <w:r w:rsidRPr="006426F6">
        <w:t>In Section 1, f</w:t>
      </w:r>
      <w:r w:rsidR="001C5604" w:rsidRPr="006426F6">
        <w:t xml:space="preserve">or each competency domain, identify the competency level that has been </w:t>
      </w:r>
      <w:r w:rsidR="001C5604" w:rsidRPr="006426F6">
        <w:rPr>
          <w:u w:val="single"/>
        </w:rPr>
        <w:t>consistently</w:t>
      </w:r>
      <w:r w:rsidR="001C5604" w:rsidRPr="006426F6">
        <w:t xml:space="preserve"> demonstrated. </w:t>
      </w:r>
      <w:r w:rsidR="00647A3A" w:rsidRPr="006426F6">
        <w:t>While providing an overall rating for the domain, note if there are particular gaps with specific competency statements.</w:t>
      </w:r>
    </w:p>
    <w:p w14:paraId="781F802E" w14:textId="77777777" w:rsidR="001C5604" w:rsidRPr="006426F6" w:rsidRDefault="001C5604" w:rsidP="001C5604">
      <w:pPr>
        <w:pStyle w:val="ListParagraph"/>
        <w:numPr>
          <w:ilvl w:val="0"/>
          <w:numId w:val="2"/>
        </w:numPr>
      </w:pPr>
      <w:r w:rsidRPr="006426F6">
        <w:t xml:space="preserve">Identify the supporting evidence, including an example, </w:t>
      </w:r>
      <w:r w:rsidR="00FF5C9A" w:rsidRPr="006426F6">
        <w:t xml:space="preserve">which </w:t>
      </w:r>
      <w:r w:rsidRPr="006426F6">
        <w:t>supports the competency level rating.</w:t>
      </w:r>
    </w:p>
    <w:p w14:paraId="6B8560B7" w14:textId="77777777" w:rsidR="001C5604" w:rsidRPr="006426F6" w:rsidRDefault="00CD59BA" w:rsidP="001C5604">
      <w:pPr>
        <w:pStyle w:val="ListParagraph"/>
        <w:numPr>
          <w:ilvl w:val="0"/>
          <w:numId w:val="2"/>
        </w:numPr>
      </w:pPr>
      <w:r w:rsidRPr="006426F6">
        <w:t>In Section 2, u</w:t>
      </w:r>
      <w:r w:rsidR="001C5604" w:rsidRPr="006426F6">
        <w:t>se the summary table to record your rating for each domain. Include the target level for comparison. This may be for your current position and/or for a more senior position for career planning purposes.</w:t>
      </w:r>
    </w:p>
    <w:p w14:paraId="76DC3DFE" w14:textId="77777777" w:rsidR="001C5604" w:rsidRPr="006426F6" w:rsidRDefault="001C5604" w:rsidP="001C5604">
      <w:pPr>
        <w:pStyle w:val="ListParagraph"/>
        <w:numPr>
          <w:ilvl w:val="0"/>
          <w:numId w:val="2"/>
        </w:numPr>
      </w:pPr>
      <w:r w:rsidRPr="006426F6">
        <w:t>Consider discussing your results with your supervisor or a mentor (</w:t>
      </w:r>
      <w:r w:rsidR="00FF5C9A" w:rsidRPr="006426F6">
        <w:t xml:space="preserve">people’s </w:t>
      </w:r>
      <w:r w:rsidRPr="006426F6">
        <w:t>own assessments sometimes over- or under-represent reality)</w:t>
      </w:r>
    </w:p>
    <w:p w14:paraId="7A4340AA" w14:textId="77777777" w:rsidR="001C5604" w:rsidRDefault="00CD59BA" w:rsidP="001C5604">
      <w:pPr>
        <w:pStyle w:val="ListParagraph"/>
        <w:numPr>
          <w:ilvl w:val="0"/>
          <w:numId w:val="2"/>
        </w:numPr>
      </w:pPr>
      <w:r>
        <w:t>In Section 3, develop a learning plan to address identified competency gaps. Again, discussion/support from your supervisor or mentor can be helpful here since competency development typically involves experience in applying a new skill.</w:t>
      </w:r>
    </w:p>
    <w:p w14:paraId="0114C2A8" w14:textId="77777777" w:rsidR="005F36D3" w:rsidRDefault="005F36D3" w:rsidP="005F36D3">
      <w:pPr>
        <w:sectPr w:rsidR="005F36D3" w:rsidSect="00C01801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lowerRoman"/>
          </w:footnotePr>
          <w:pgSz w:w="12240" w:h="15840" w:code="1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47C551D" w14:textId="77777777" w:rsidR="00CD59BA" w:rsidRDefault="00CD59BA" w:rsidP="005F36D3">
      <w:pPr>
        <w:pStyle w:val="Heading1"/>
      </w:pPr>
      <w:r>
        <w:lastRenderedPageBreak/>
        <w:t>Section 1 – Competency Assessment</w:t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CD59BA" w:rsidRPr="006426F6" w14:paraId="5D41BC5D" w14:textId="77777777" w:rsidTr="005F36D3">
        <w:tc>
          <w:tcPr>
            <w:tcW w:w="6228" w:type="dxa"/>
          </w:tcPr>
          <w:p w14:paraId="00DA0837" w14:textId="77777777" w:rsidR="00CD59BA" w:rsidRPr="006426F6" w:rsidRDefault="00CD59BA" w:rsidP="00CD59BA">
            <w:pPr>
              <w:pStyle w:val="NoSpacing"/>
              <w:rPr>
                <w:rFonts w:cs="Arial"/>
                <w:b/>
              </w:rPr>
            </w:pPr>
            <w:r w:rsidRPr="006426F6">
              <w:rPr>
                <w:rFonts w:cs="Arial"/>
                <w:b/>
                <w:u w:val="single"/>
              </w:rPr>
              <w:t xml:space="preserve">Domain </w:t>
            </w:r>
            <w:r w:rsidR="00FF5C9A" w:rsidRPr="006426F6">
              <w:rPr>
                <w:rFonts w:cs="Arial"/>
                <w:b/>
                <w:u w:val="single"/>
              </w:rPr>
              <w:t>1 – Health Promotion Knowledge and Skills</w:t>
            </w:r>
          </w:p>
          <w:p w14:paraId="4779DA51" w14:textId="77777777" w:rsidR="00FF5C9A" w:rsidRPr="006426F6" w:rsidRDefault="00FF5C9A" w:rsidP="00FF5C9A">
            <w:pPr>
              <w:autoSpaceDE w:val="0"/>
              <w:autoSpaceDN w:val="0"/>
              <w:adjustRightInd w:val="0"/>
              <w:ind w:left="450" w:right="720" w:hanging="450"/>
              <w:rPr>
                <w:rFonts w:cs="Arial"/>
              </w:rPr>
            </w:pPr>
          </w:p>
          <w:p w14:paraId="28B93DB1" w14:textId="77777777" w:rsidR="00FF5C9A" w:rsidRPr="006426F6" w:rsidRDefault="00FF5C9A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1.1 </w:t>
            </w:r>
            <w:r w:rsidRPr="006426F6">
              <w:rPr>
                <w:rFonts w:cs="Arial"/>
                <w:sz w:val="24"/>
              </w:rPr>
              <w:tab/>
              <w:t>Apply a population health promotion approach, including determinants of health and health equity, to the analysis of health issues.</w:t>
            </w:r>
          </w:p>
          <w:p w14:paraId="658077FB" w14:textId="77777777" w:rsidR="00FF5C9A" w:rsidRPr="006426F6" w:rsidRDefault="00FF5C9A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1.2 </w:t>
            </w:r>
            <w:r w:rsidRPr="006426F6">
              <w:rPr>
                <w:rFonts w:cs="Arial"/>
                <w:sz w:val="24"/>
              </w:rPr>
              <w:tab/>
              <w:t>Apply health promotion principles, theory and research to:</w:t>
            </w:r>
          </w:p>
          <w:p w14:paraId="0C87B95E" w14:textId="77777777" w:rsidR="00FF5C9A" w:rsidRPr="006426F6" w:rsidRDefault="00FF5C9A" w:rsidP="00C01801">
            <w:pPr>
              <w:autoSpaceDE w:val="0"/>
              <w:autoSpaceDN w:val="0"/>
              <w:adjustRightInd w:val="0"/>
              <w:ind w:left="450" w:right="252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>a) Identify options for health promotion action.</w:t>
            </w:r>
          </w:p>
          <w:p w14:paraId="4DDF152D" w14:textId="77777777" w:rsidR="00FF5C9A" w:rsidRPr="006426F6" w:rsidRDefault="00FF5C9A" w:rsidP="00C01801">
            <w:pPr>
              <w:autoSpaceDE w:val="0"/>
              <w:autoSpaceDN w:val="0"/>
              <w:adjustRightInd w:val="0"/>
              <w:ind w:left="450" w:right="252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b) Plan, implement and evaluate health promotion action. </w:t>
            </w:r>
          </w:p>
          <w:p w14:paraId="023C4AE0" w14:textId="77777777" w:rsidR="005F36D3" w:rsidRPr="006426F6" w:rsidRDefault="005F36D3" w:rsidP="00CD59BA">
            <w:pPr>
              <w:pStyle w:val="NoSpacing"/>
              <w:rPr>
                <w:rFonts w:cs="Arial"/>
              </w:rPr>
            </w:pPr>
          </w:p>
        </w:tc>
        <w:tc>
          <w:tcPr>
            <w:tcW w:w="6960" w:type="dxa"/>
          </w:tcPr>
          <w:p w14:paraId="5E111996" w14:textId="77777777" w:rsidR="00CD59BA" w:rsidRPr="006426F6" w:rsidRDefault="00CD59BA" w:rsidP="00CD59BA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510F81C2" w14:textId="77777777" w:rsidR="00CD59BA" w:rsidRPr="006426F6" w:rsidRDefault="00194F17" w:rsidP="00CD59BA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</w:t>
            </w:r>
            <w:r w:rsidR="00CD59BA" w:rsidRPr="006426F6">
              <w:rPr>
                <w:rFonts w:cs="Arial"/>
                <w:u w:val="single"/>
              </w:rPr>
              <w:t>onsistently</w:t>
            </w:r>
            <w:r w:rsidR="00CD59BA" w:rsidRPr="006426F6">
              <w:rPr>
                <w:rFonts w:cs="Arial"/>
              </w:rPr>
              <w:t xml:space="preserve"> demonstrated application of these competencies in:</w:t>
            </w:r>
          </w:p>
          <w:p w14:paraId="5AF1E064" w14:textId="77777777" w:rsidR="00CD59BA" w:rsidRPr="006426F6" w:rsidRDefault="00CD59BA" w:rsidP="00CD59BA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</w:t>
            </w:r>
            <w:r w:rsidR="00194F17" w:rsidRPr="006426F6">
              <w:rPr>
                <w:rFonts w:cs="Arial"/>
              </w:rPr>
              <w:t xml:space="preserve"> (1)</w:t>
            </w:r>
          </w:p>
          <w:p w14:paraId="0C3A5245" w14:textId="77777777" w:rsidR="00CD59BA" w:rsidRPr="006426F6" w:rsidRDefault="00194F17" w:rsidP="00CD59BA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3472D0CC" w14:textId="77777777" w:rsidR="00194F17" w:rsidRPr="006426F6" w:rsidRDefault="00194F17" w:rsidP="00CD59BA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33C0F0A3" w14:textId="77777777" w:rsidR="00194F17" w:rsidRPr="006426F6" w:rsidRDefault="00194F17" w:rsidP="00CD59BA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0BDC5E7B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2021502E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390DB0BB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</w:tc>
      </w:tr>
      <w:tr w:rsidR="00194F17" w:rsidRPr="006426F6" w14:paraId="7AE4AFC4" w14:textId="77777777" w:rsidTr="005F36D3">
        <w:tc>
          <w:tcPr>
            <w:tcW w:w="13188" w:type="dxa"/>
            <w:gridSpan w:val="2"/>
          </w:tcPr>
          <w:p w14:paraId="3DE43219" w14:textId="77777777" w:rsidR="00194F17" w:rsidRPr="006426F6" w:rsidRDefault="00194F17" w:rsidP="00CD59BA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7662BBA6" w14:textId="77777777" w:rsidR="00194F17" w:rsidRPr="006426F6" w:rsidRDefault="00194F17" w:rsidP="00CD59BA">
            <w:pPr>
              <w:pStyle w:val="NoSpacing"/>
              <w:rPr>
                <w:rFonts w:cs="Arial"/>
              </w:rPr>
            </w:pPr>
          </w:p>
          <w:p w14:paraId="44C5D5F3" w14:textId="77777777" w:rsidR="00194F17" w:rsidRPr="006426F6" w:rsidRDefault="00194F17" w:rsidP="00CD59BA">
            <w:pPr>
              <w:pStyle w:val="NoSpacing"/>
              <w:rPr>
                <w:rFonts w:cs="Arial"/>
              </w:rPr>
            </w:pPr>
          </w:p>
          <w:p w14:paraId="74ADB4D9" w14:textId="77777777" w:rsidR="00194F17" w:rsidRPr="006426F6" w:rsidRDefault="00194F17" w:rsidP="00CD59BA">
            <w:pPr>
              <w:pStyle w:val="NoSpacing"/>
              <w:rPr>
                <w:rFonts w:cs="Arial"/>
              </w:rPr>
            </w:pPr>
          </w:p>
          <w:p w14:paraId="46FFE669" w14:textId="77777777" w:rsidR="00194F17" w:rsidRPr="006426F6" w:rsidRDefault="00194F17" w:rsidP="00CD59BA">
            <w:pPr>
              <w:pStyle w:val="NoSpacing"/>
              <w:rPr>
                <w:rFonts w:cs="Arial"/>
              </w:rPr>
            </w:pPr>
          </w:p>
          <w:p w14:paraId="62373477" w14:textId="77777777" w:rsidR="00194F17" w:rsidRPr="006426F6" w:rsidRDefault="00194F17" w:rsidP="00CD59BA">
            <w:pPr>
              <w:pStyle w:val="NoSpacing"/>
              <w:rPr>
                <w:rFonts w:cs="Arial"/>
              </w:rPr>
            </w:pPr>
          </w:p>
        </w:tc>
      </w:tr>
    </w:tbl>
    <w:p w14:paraId="3237D9AE" w14:textId="77777777" w:rsidR="008D6476" w:rsidRDefault="008D6476" w:rsidP="00CD59BA"/>
    <w:p w14:paraId="23A6BC35" w14:textId="77777777" w:rsidR="008D6476" w:rsidRDefault="008D6476">
      <w: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194F17" w:rsidRPr="006426F6" w14:paraId="57A90BE7" w14:textId="77777777" w:rsidTr="00DF356F">
        <w:tc>
          <w:tcPr>
            <w:tcW w:w="6228" w:type="dxa"/>
          </w:tcPr>
          <w:p w14:paraId="4E8F087B" w14:textId="77777777" w:rsidR="00194F17" w:rsidRPr="006426F6" w:rsidRDefault="00194F17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lastRenderedPageBreak/>
              <w:t>Domain 2</w:t>
            </w:r>
            <w:r w:rsidR="00C01801" w:rsidRPr="006426F6">
              <w:rPr>
                <w:rFonts w:cs="Arial"/>
                <w:b/>
                <w:u w:val="single"/>
              </w:rPr>
              <w:t xml:space="preserve"> – Situational Assessments</w:t>
            </w:r>
          </w:p>
          <w:p w14:paraId="60453E9C" w14:textId="77777777" w:rsidR="00C01801" w:rsidRPr="006426F6" w:rsidRDefault="00C01801" w:rsidP="00556075">
            <w:pPr>
              <w:pStyle w:val="NoSpacing"/>
              <w:rPr>
                <w:rFonts w:cs="Arial"/>
                <w:b/>
                <w:u w:val="single"/>
              </w:rPr>
            </w:pPr>
          </w:p>
          <w:p w14:paraId="5B7FBE09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bCs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 xml:space="preserve">2.1 </w:t>
            </w:r>
            <w:r w:rsidRPr="006426F6">
              <w:rPr>
                <w:rFonts w:cs="Arial"/>
                <w:sz w:val="24"/>
                <w:szCs w:val="24"/>
              </w:rPr>
              <w:tab/>
              <w:t>R</w:t>
            </w:r>
            <w:r w:rsidRPr="006426F6">
              <w:rPr>
                <w:rFonts w:cs="Arial"/>
                <w:bCs/>
                <w:sz w:val="24"/>
                <w:szCs w:val="24"/>
              </w:rPr>
              <w:t>etrieve and synthesize population health status information to describe the importance and underlying causes of a health issue.</w:t>
            </w:r>
            <w:r w:rsidRPr="006426F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4EAA5787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 xml:space="preserve">2.2 </w:t>
            </w:r>
            <w:r w:rsidRPr="006426F6">
              <w:rPr>
                <w:rFonts w:cs="Arial"/>
                <w:sz w:val="24"/>
                <w:szCs w:val="24"/>
              </w:rPr>
              <w:tab/>
              <w:t>Access and critically appraise evidence (i.e. published and grey literature, systematic reviews, and promising practices) for potential health promotion action.</w:t>
            </w:r>
          </w:p>
          <w:p w14:paraId="77ECC456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 xml:space="preserve">2.3 </w:t>
            </w:r>
            <w:r w:rsidRPr="006426F6">
              <w:rPr>
                <w:rFonts w:cs="Arial"/>
                <w:sz w:val="24"/>
                <w:szCs w:val="24"/>
              </w:rPr>
              <w:tab/>
              <w:t>Conduct an environmental scan to identify community perspectives, assets, resources, challenges and gaps.</w:t>
            </w:r>
          </w:p>
          <w:p w14:paraId="5134FF77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 xml:space="preserve">2.4 </w:t>
            </w:r>
            <w:r w:rsidRPr="006426F6">
              <w:rPr>
                <w:rFonts w:cs="Arial"/>
                <w:sz w:val="24"/>
                <w:szCs w:val="24"/>
              </w:rPr>
              <w:tab/>
              <w:t xml:space="preserve">Interpret population health status information, evidence, and environmental scan findings to identify options for health promotion action. </w:t>
            </w:r>
          </w:p>
          <w:p w14:paraId="79396B8B" w14:textId="77777777" w:rsidR="00DF356F" w:rsidRPr="006426F6" w:rsidRDefault="00DF356F" w:rsidP="00C01801">
            <w:pPr>
              <w:autoSpaceDE w:val="0"/>
              <w:autoSpaceDN w:val="0"/>
              <w:adjustRightInd w:val="0"/>
              <w:ind w:left="720" w:right="132" w:hanging="720"/>
              <w:rPr>
                <w:rFonts w:cs="Arial"/>
              </w:rPr>
            </w:pPr>
          </w:p>
        </w:tc>
        <w:tc>
          <w:tcPr>
            <w:tcW w:w="6960" w:type="dxa"/>
          </w:tcPr>
          <w:p w14:paraId="2ADFA23E" w14:textId="77777777" w:rsidR="00194F17" w:rsidRPr="006426F6" w:rsidRDefault="00194F17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605FE9FB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Consistently</w:t>
            </w:r>
            <w:r w:rsidRPr="006426F6">
              <w:rPr>
                <w:rFonts w:cs="Arial"/>
              </w:rPr>
              <w:t xml:space="preserve"> demonstrated application of these competencies in:</w:t>
            </w:r>
          </w:p>
          <w:p w14:paraId="5AA02AA2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 (1)</w:t>
            </w:r>
          </w:p>
          <w:p w14:paraId="4D906AA2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3857A444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15458F42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2895A68D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10234552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342702F4" w14:textId="77777777" w:rsidR="00194F17" w:rsidRPr="006426F6" w:rsidRDefault="00194F17" w:rsidP="00CB6FF8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194F17" w:rsidRPr="006426F6" w14:paraId="017C91CC" w14:textId="77777777" w:rsidTr="00DF356F">
        <w:tc>
          <w:tcPr>
            <w:tcW w:w="13188" w:type="dxa"/>
            <w:gridSpan w:val="2"/>
          </w:tcPr>
          <w:p w14:paraId="0B3A7EC7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5E1E544F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  <w:p w14:paraId="4C95477F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  <w:p w14:paraId="15E4A317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  <w:p w14:paraId="7F51558F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  <w:p w14:paraId="6E4C5598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</w:tc>
      </w:tr>
    </w:tbl>
    <w:p w14:paraId="22F1F00A" w14:textId="77777777" w:rsidR="00194F17" w:rsidRDefault="00194F17" w:rsidP="00194F17"/>
    <w:p w14:paraId="36927A90" w14:textId="77777777" w:rsidR="00194F17" w:rsidRDefault="00194F17">
      <w: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194F17" w:rsidRPr="006426F6" w14:paraId="0998922E" w14:textId="77777777" w:rsidTr="00DF356F">
        <w:tc>
          <w:tcPr>
            <w:tcW w:w="6228" w:type="dxa"/>
          </w:tcPr>
          <w:p w14:paraId="2C74BDDE" w14:textId="77777777" w:rsidR="00194F17" w:rsidRPr="006426F6" w:rsidRDefault="00194F17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lastRenderedPageBreak/>
              <w:t>Domain 3</w:t>
            </w:r>
            <w:r w:rsidR="00C01801" w:rsidRPr="006426F6">
              <w:rPr>
                <w:rFonts w:cs="Arial"/>
                <w:b/>
                <w:u w:val="single"/>
              </w:rPr>
              <w:t xml:space="preserve"> – Plan and Evaluate Health Promotion Action</w:t>
            </w:r>
          </w:p>
          <w:p w14:paraId="15A4BDD3" w14:textId="77777777" w:rsidR="00DF356F" w:rsidRPr="006426F6" w:rsidRDefault="00DF356F" w:rsidP="00C01801">
            <w:pPr>
              <w:autoSpaceDE w:val="0"/>
              <w:autoSpaceDN w:val="0"/>
              <w:adjustRightInd w:val="0"/>
              <w:ind w:left="540" w:right="372" w:hanging="540"/>
              <w:rPr>
                <w:rFonts w:cs="Arial"/>
              </w:rPr>
            </w:pPr>
          </w:p>
          <w:p w14:paraId="6C1308C3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 xml:space="preserve">3.1 </w:t>
            </w:r>
            <w:r w:rsidRPr="006426F6">
              <w:rPr>
                <w:rFonts w:cs="Arial"/>
                <w:sz w:val="24"/>
                <w:szCs w:val="24"/>
              </w:rPr>
              <w:tab/>
              <w:t xml:space="preserve">Develop a plan to implement health promotion action including goals, objectives, and implementation and evaluation steps. </w:t>
            </w:r>
          </w:p>
          <w:p w14:paraId="31441B20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 xml:space="preserve">3.2 </w:t>
            </w:r>
            <w:r w:rsidRPr="006426F6">
              <w:rPr>
                <w:rFonts w:cs="Arial"/>
                <w:sz w:val="24"/>
                <w:szCs w:val="24"/>
              </w:rPr>
              <w:tab/>
              <w:t>Identify and oversee resources (e.g., skills, personnel, partner contributions, budget) to develop, implement and evaluate sustainable health promotion action.</w:t>
            </w:r>
          </w:p>
          <w:p w14:paraId="1CD15EE3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 xml:space="preserve">3.3 </w:t>
            </w:r>
            <w:r w:rsidRPr="006426F6">
              <w:rPr>
                <w:rFonts w:cs="Arial"/>
                <w:sz w:val="24"/>
                <w:szCs w:val="24"/>
              </w:rPr>
              <w:tab/>
              <w:t>Monitor and evaluate the implementation of health promotion action.</w:t>
            </w:r>
          </w:p>
          <w:p w14:paraId="2731F026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540" w:right="372" w:hanging="540"/>
              <w:rPr>
                <w:rFonts w:cs="Arial"/>
              </w:rPr>
            </w:pPr>
          </w:p>
        </w:tc>
        <w:tc>
          <w:tcPr>
            <w:tcW w:w="6960" w:type="dxa"/>
          </w:tcPr>
          <w:p w14:paraId="41D6B8CC" w14:textId="77777777" w:rsidR="00194F17" w:rsidRPr="006426F6" w:rsidRDefault="00194F17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657C3F87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Consistently</w:t>
            </w:r>
            <w:r w:rsidRPr="006426F6">
              <w:rPr>
                <w:rFonts w:cs="Arial"/>
              </w:rPr>
              <w:t xml:space="preserve"> demonstrated application of these competencies in:</w:t>
            </w:r>
          </w:p>
          <w:p w14:paraId="6A9DFA94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 (1)</w:t>
            </w:r>
          </w:p>
          <w:p w14:paraId="49A2E61E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0962EB63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32ECEA51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45E5E57D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1FA1D1DE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1DFCE2E1" w14:textId="77777777" w:rsidR="00194F17" w:rsidRPr="006426F6" w:rsidRDefault="00194F17" w:rsidP="00CB6FF8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194F17" w:rsidRPr="006426F6" w14:paraId="5BF33FD1" w14:textId="77777777" w:rsidTr="00DF356F">
        <w:tc>
          <w:tcPr>
            <w:tcW w:w="13188" w:type="dxa"/>
            <w:gridSpan w:val="2"/>
          </w:tcPr>
          <w:p w14:paraId="3D2CAA48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758D4F24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  <w:p w14:paraId="492200C1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  <w:p w14:paraId="3883BC83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  <w:p w14:paraId="30E3C39C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  <w:p w14:paraId="2CD3FF3B" w14:textId="77777777" w:rsidR="00194F17" w:rsidRPr="006426F6" w:rsidRDefault="00194F17" w:rsidP="00556075">
            <w:pPr>
              <w:pStyle w:val="NoSpacing"/>
              <w:rPr>
                <w:rFonts w:cs="Arial"/>
              </w:rPr>
            </w:pPr>
          </w:p>
        </w:tc>
      </w:tr>
    </w:tbl>
    <w:p w14:paraId="1DE41669" w14:textId="77777777" w:rsidR="00FE4040" w:rsidRDefault="00FE4040" w:rsidP="00CD59BA"/>
    <w:p w14:paraId="523C79AF" w14:textId="77777777" w:rsidR="00FE4040" w:rsidRDefault="00FE4040">
      <w:r>
        <w:br w:type="page"/>
      </w:r>
    </w:p>
    <w:p w14:paraId="7515099C" w14:textId="77777777" w:rsidR="00194F17" w:rsidRDefault="00194F17" w:rsidP="00CD59BA"/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FE4040" w:rsidRPr="006426F6" w14:paraId="4E06F48B" w14:textId="77777777" w:rsidTr="00FE4040">
        <w:tc>
          <w:tcPr>
            <w:tcW w:w="6228" w:type="dxa"/>
          </w:tcPr>
          <w:p w14:paraId="431E9A1C" w14:textId="77777777" w:rsidR="00FE4040" w:rsidRPr="006426F6" w:rsidRDefault="00FE4040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Domain 4</w:t>
            </w:r>
            <w:r w:rsidR="00C01801" w:rsidRPr="006426F6">
              <w:rPr>
                <w:rFonts w:cs="Arial"/>
                <w:b/>
                <w:u w:val="single"/>
              </w:rPr>
              <w:t xml:space="preserve"> – Policy Development and Advocacy</w:t>
            </w:r>
          </w:p>
          <w:p w14:paraId="080B0881" w14:textId="77777777" w:rsidR="00C01801" w:rsidRPr="006426F6" w:rsidRDefault="00C01801" w:rsidP="00556075">
            <w:pPr>
              <w:pStyle w:val="NoSpacing"/>
              <w:rPr>
                <w:rFonts w:cs="Arial"/>
                <w:b/>
                <w:u w:val="single"/>
              </w:rPr>
            </w:pPr>
          </w:p>
          <w:p w14:paraId="2A51F8A8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>4.1</w:t>
            </w:r>
            <w:r w:rsidRPr="006426F6">
              <w:rPr>
                <w:rFonts w:cs="Arial"/>
                <w:sz w:val="24"/>
              </w:rPr>
              <w:tab/>
              <w:t>Describe the potential implications of policy options (i.e., health, economic, administrative, legal, social, environmental, political and other factors, as applicable).</w:t>
            </w:r>
          </w:p>
          <w:p w14:paraId="25BD1CED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4.2 </w:t>
            </w:r>
            <w:r w:rsidRPr="006426F6">
              <w:rPr>
                <w:rFonts w:cs="Arial"/>
                <w:sz w:val="24"/>
              </w:rPr>
              <w:tab/>
              <w:t>Provide strategic policy advice on health promotion issues.</w:t>
            </w:r>
          </w:p>
          <w:p w14:paraId="630B660B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4.3 </w:t>
            </w:r>
            <w:r w:rsidRPr="006426F6">
              <w:rPr>
                <w:rFonts w:cs="Arial"/>
                <w:sz w:val="24"/>
              </w:rPr>
              <w:tab/>
              <w:t>Write clear and concise briefs for health promotion issues.</w:t>
            </w:r>
          </w:p>
          <w:p w14:paraId="4756ABCE" w14:textId="77777777" w:rsidR="00C01801" w:rsidRPr="006426F6" w:rsidRDefault="00C01801" w:rsidP="00C01801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4.4  </w:t>
            </w:r>
            <w:r w:rsidRPr="006426F6">
              <w:rPr>
                <w:rFonts w:cs="Arial"/>
                <w:sz w:val="24"/>
              </w:rPr>
              <w:tab/>
              <w:t>Apply understanding of the policy making process to assist, enable and facilitate the community to contribute to policy development.</w:t>
            </w:r>
          </w:p>
          <w:p w14:paraId="6309E8AF" w14:textId="77777777" w:rsidR="00FE4040" w:rsidRPr="006426F6" w:rsidRDefault="00FE4040" w:rsidP="00C01801">
            <w:pPr>
              <w:autoSpaceDE w:val="0"/>
              <w:autoSpaceDN w:val="0"/>
              <w:adjustRightInd w:val="0"/>
              <w:ind w:left="600" w:right="132" w:hanging="600"/>
              <w:rPr>
                <w:rFonts w:cs="Arial"/>
              </w:rPr>
            </w:pPr>
          </w:p>
        </w:tc>
        <w:tc>
          <w:tcPr>
            <w:tcW w:w="6960" w:type="dxa"/>
          </w:tcPr>
          <w:p w14:paraId="0E305C2A" w14:textId="77777777" w:rsidR="00FE4040" w:rsidRPr="006426F6" w:rsidRDefault="00FE4040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704C81E2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Consistently</w:t>
            </w:r>
            <w:r w:rsidRPr="006426F6">
              <w:rPr>
                <w:rFonts w:cs="Arial"/>
              </w:rPr>
              <w:t xml:space="preserve"> demonstrated application of these competencies in:</w:t>
            </w:r>
          </w:p>
          <w:p w14:paraId="421FB802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 (1)</w:t>
            </w:r>
          </w:p>
          <w:p w14:paraId="55E2F6C6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7F21DFCB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51937517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20FFE76C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145DDB93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6FBD58DC" w14:textId="77777777" w:rsidR="00FE4040" w:rsidRPr="006426F6" w:rsidRDefault="00FE4040" w:rsidP="00CB6FF8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FE4040" w:rsidRPr="006426F6" w14:paraId="64A3C98A" w14:textId="77777777" w:rsidTr="00556075">
        <w:tc>
          <w:tcPr>
            <w:tcW w:w="13188" w:type="dxa"/>
            <w:gridSpan w:val="2"/>
          </w:tcPr>
          <w:p w14:paraId="7BE065D0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6AAEDD49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516C3C1E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404B3BBE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213FB0A2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2367EAB4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</w:tc>
      </w:tr>
    </w:tbl>
    <w:p w14:paraId="7A779E47" w14:textId="77777777" w:rsidR="00FE4040" w:rsidRDefault="00FE4040"/>
    <w:p w14:paraId="5A000041" w14:textId="77777777" w:rsidR="00FE4040" w:rsidRDefault="00FE4040">
      <w: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FE4040" w:rsidRPr="006426F6" w14:paraId="38FEA056" w14:textId="77777777" w:rsidTr="00556075">
        <w:tc>
          <w:tcPr>
            <w:tcW w:w="6228" w:type="dxa"/>
          </w:tcPr>
          <w:p w14:paraId="4D169E32" w14:textId="77777777" w:rsidR="00FE4040" w:rsidRPr="006426F6" w:rsidRDefault="00FE4040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lastRenderedPageBreak/>
              <w:t>Domain 5</w:t>
            </w:r>
            <w:r w:rsidR="00C01801" w:rsidRPr="006426F6">
              <w:rPr>
                <w:rFonts w:cs="Arial"/>
                <w:b/>
                <w:u w:val="single"/>
              </w:rPr>
              <w:t xml:space="preserve"> – Community Mobilization and Building Community Capacity</w:t>
            </w:r>
          </w:p>
          <w:p w14:paraId="77BFC32C" w14:textId="77777777" w:rsidR="00C01801" w:rsidRPr="006426F6" w:rsidRDefault="00C01801" w:rsidP="00556075">
            <w:pPr>
              <w:pStyle w:val="NoSpacing"/>
              <w:rPr>
                <w:rFonts w:cs="Arial"/>
                <w:b/>
                <w:u w:val="single"/>
              </w:rPr>
            </w:pPr>
          </w:p>
          <w:p w14:paraId="12AF551D" w14:textId="77777777" w:rsidR="00C01801" w:rsidRPr="006426F6" w:rsidRDefault="00C01801" w:rsidP="00C01801">
            <w:pPr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5.1 </w:t>
            </w:r>
            <w:r w:rsidRPr="006426F6">
              <w:rPr>
                <w:rFonts w:cs="Arial"/>
                <w:sz w:val="24"/>
              </w:rPr>
              <w:tab/>
              <w:t>Develop relationships and engage in a dialogue with communities based on trust and mutual respect.</w:t>
            </w:r>
          </w:p>
          <w:p w14:paraId="6B610330" w14:textId="77777777" w:rsidR="00C01801" w:rsidRPr="006426F6" w:rsidRDefault="00C01801" w:rsidP="00C01801">
            <w:pPr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5.2 </w:t>
            </w:r>
            <w:r w:rsidRPr="006426F6">
              <w:rPr>
                <w:rFonts w:cs="Arial"/>
                <w:sz w:val="24"/>
              </w:rPr>
              <w:tab/>
              <w:t>Identify and strengthen local community capacities to take action on health issues.</w:t>
            </w:r>
          </w:p>
          <w:p w14:paraId="03C4377C" w14:textId="77777777" w:rsidR="00C01801" w:rsidRPr="006426F6" w:rsidRDefault="00C01801" w:rsidP="00C01801">
            <w:pPr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5.3 </w:t>
            </w:r>
            <w:r w:rsidRPr="006426F6">
              <w:rPr>
                <w:rFonts w:cs="Arial"/>
                <w:sz w:val="24"/>
              </w:rPr>
              <w:tab/>
              <w:t xml:space="preserve">Advocate for and with communities to improve their health and </w:t>
            </w:r>
            <w:proofErr w:type="gramStart"/>
            <w:r w:rsidRPr="006426F6">
              <w:rPr>
                <w:rFonts w:cs="Arial"/>
                <w:sz w:val="24"/>
              </w:rPr>
              <w:t>well-being</w:t>
            </w:r>
            <w:proofErr w:type="gramEnd"/>
            <w:r w:rsidRPr="006426F6">
              <w:rPr>
                <w:rFonts w:cs="Arial"/>
                <w:sz w:val="24"/>
              </w:rPr>
              <w:t>.</w:t>
            </w:r>
          </w:p>
          <w:p w14:paraId="19914B05" w14:textId="77777777" w:rsidR="00FE4040" w:rsidRPr="006426F6" w:rsidRDefault="00FE4040" w:rsidP="00C01801">
            <w:pPr>
              <w:autoSpaceDE w:val="0"/>
              <w:autoSpaceDN w:val="0"/>
              <w:adjustRightInd w:val="0"/>
              <w:ind w:left="600" w:right="252" w:hanging="600"/>
              <w:rPr>
                <w:rFonts w:cs="Arial"/>
              </w:rPr>
            </w:pPr>
          </w:p>
        </w:tc>
        <w:tc>
          <w:tcPr>
            <w:tcW w:w="6960" w:type="dxa"/>
          </w:tcPr>
          <w:p w14:paraId="75F7B06A" w14:textId="77777777" w:rsidR="00FE4040" w:rsidRPr="006426F6" w:rsidRDefault="00FE4040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3A37DC27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Consistently</w:t>
            </w:r>
            <w:r w:rsidRPr="006426F6">
              <w:rPr>
                <w:rFonts w:cs="Arial"/>
              </w:rPr>
              <w:t xml:space="preserve"> demonstrated application of these competencies in:</w:t>
            </w:r>
          </w:p>
          <w:p w14:paraId="0C059193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 (1)</w:t>
            </w:r>
          </w:p>
          <w:p w14:paraId="4CAE59DE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57BA6C98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25E4DFFB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58717514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13A55264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48567CCD" w14:textId="77777777" w:rsidR="00FE4040" w:rsidRPr="006426F6" w:rsidRDefault="00FE4040" w:rsidP="00CB6FF8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FE4040" w:rsidRPr="006426F6" w14:paraId="58E1EAAC" w14:textId="77777777" w:rsidTr="00556075">
        <w:tc>
          <w:tcPr>
            <w:tcW w:w="13188" w:type="dxa"/>
            <w:gridSpan w:val="2"/>
          </w:tcPr>
          <w:p w14:paraId="1B59D13F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5FBD14BC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73D148A2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3EDC74F9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2A8053B1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181781F9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</w:tc>
      </w:tr>
    </w:tbl>
    <w:p w14:paraId="6DF4B1AE" w14:textId="77777777" w:rsidR="00FE4040" w:rsidRDefault="00FE4040"/>
    <w:p w14:paraId="5F516150" w14:textId="77777777" w:rsidR="00FE4040" w:rsidRDefault="00FE4040">
      <w: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FE4040" w:rsidRPr="006426F6" w14:paraId="67B5899F" w14:textId="77777777" w:rsidTr="00556075">
        <w:tc>
          <w:tcPr>
            <w:tcW w:w="6228" w:type="dxa"/>
          </w:tcPr>
          <w:p w14:paraId="500F12B4" w14:textId="77777777" w:rsidR="00FE4040" w:rsidRPr="006426F6" w:rsidRDefault="00FE4040" w:rsidP="00B14ED0">
            <w:pPr>
              <w:pStyle w:val="NoSpacing"/>
              <w:rPr>
                <w:rFonts w:eastAsia="Calibri" w:cs="Arial"/>
                <w:b/>
                <w:bCs/>
                <w:szCs w:val="24"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lastRenderedPageBreak/>
              <w:t>Domain 6</w:t>
            </w:r>
            <w:r w:rsidR="00B14ED0" w:rsidRPr="006426F6">
              <w:rPr>
                <w:rFonts w:cs="Arial"/>
                <w:b/>
                <w:u w:val="single"/>
              </w:rPr>
              <w:t xml:space="preserve"> - P</w:t>
            </w:r>
            <w:r w:rsidRPr="006426F6">
              <w:rPr>
                <w:rFonts w:eastAsia="Calibri" w:cs="Arial"/>
                <w:b/>
                <w:bCs/>
                <w:szCs w:val="24"/>
                <w:u w:val="single"/>
              </w:rPr>
              <w:t xml:space="preserve">artnership and </w:t>
            </w:r>
            <w:r w:rsidR="00B14ED0" w:rsidRPr="006426F6">
              <w:rPr>
                <w:rFonts w:eastAsia="Calibri" w:cs="Arial"/>
                <w:b/>
                <w:bCs/>
                <w:szCs w:val="24"/>
                <w:u w:val="single"/>
              </w:rPr>
              <w:t>C</w:t>
            </w:r>
            <w:r w:rsidRPr="006426F6">
              <w:rPr>
                <w:rFonts w:eastAsia="Calibri" w:cs="Arial"/>
                <w:b/>
                <w:bCs/>
                <w:szCs w:val="24"/>
                <w:u w:val="single"/>
              </w:rPr>
              <w:t>ollaboration</w:t>
            </w:r>
          </w:p>
          <w:p w14:paraId="6D4D58A8" w14:textId="77777777" w:rsidR="00B14ED0" w:rsidRPr="006426F6" w:rsidRDefault="00B14ED0" w:rsidP="00B14ED0">
            <w:pPr>
              <w:pStyle w:val="NoSpacing"/>
              <w:rPr>
                <w:rFonts w:cs="Arial"/>
                <w:b/>
                <w:sz w:val="28"/>
              </w:rPr>
            </w:pPr>
          </w:p>
          <w:p w14:paraId="4B4F19FE" w14:textId="77777777" w:rsidR="00B14ED0" w:rsidRPr="006426F6" w:rsidRDefault="00B14ED0" w:rsidP="00B14ED0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6.1 </w:t>
            </w:r>
            <w:r w:rsidRPr="006426F6">
              <w:rPr>
                <w:rFonts w:cs="Arial"/>
                <w:sz w:val="24"/>
              </w:rPr>
              <w:tab/>
              <w:t>Establish and maintain linkages with community leaders and other key health promotion stakeholders (e.g., schools, businesses, local governments, faith groups, non-governmental organizations, etc.).</w:t>
            </w:r>
          </w:p>
          <w:p w14:paraId="34A513F2" w14:textId="77777777" w:rsidR="00B14ED0" w:rsidRPr="006426F6" w:rsidRDefault="00B14ED0" w:rsidP="00B14ED0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6.2 </w:t>
            </w:r>
            <w:r w:rsidRPr="006426F6">
              <w:rPr>
                <w:rFonts w:cs="Arial"/>
                <w:sz w:val="24"/>
              </w:rPr>
              <w:tab/>
              <w:t>Utilize leadership, team building, negotiation and conflict resolution skills to build community partnerships.</w:t>
            </w:r>
          </w:p>
          <w:p w14:paraId="3BFAE941" w14:textId="77777777" w:rsidR="00B14ED0" w:rsidRPr="006426F6" w:rsidRDefault="00B14ED0" w:rsidP="00B14ED0">
            <w:pPr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6.3 </w:t>
            </w:r>
            <w:r w:rsidRPr="006426F6">
              <w:rPr>
                <w:rFonts w:cs="Arial"/>
                <w:sz w:val="24"/>
              </w:rPr>
              <w:tab/>
              <w:t xml:space="preserve">Build and support coalitions to stimulate </w:t>
            </w:r>
            <w:proofErr w:type="spellStart"/>
            <w:r w:rsidRPr="006426F6">
              <w:rPr>
                <w:rFonts w:cs="Arial"/>
                <w:sz w:val="24"/>
              </w:rPr>
              <w:t>intersectoral</w:t>
            </w:r>
            <w:proofErr w:type="spellEnd"/>
            <w:r w:rsidRPr="006426F6">
              <w:rPr>
                <w:rFonts w:cs="Arial"/>
                <w:sz w:val="24"/>
              </w:rPr>
              <w:t xml:space="preserve"> collaboration on health issues.</w:t>
            </w:r>
          </w:p>
          <w:p w14:paraId="23D34140" w14:textId="77777777" w:rsidR="00FE4040" w:rsidRPr="006426F6" w:rsidRDefault="00FE4040" w:rsidP="00B14ED0">
            <w:pPr>
              <w:ind w:left="600" w:right="252" w:hanging="600"/>
              <w:rPr>
                <w:rFonts w:cs="Arial"/>
              </w:rPr>
            </w:pPr>
          </w:p>
        </w:tc>
        <w:tc>
          <w:tcPr>
            <w:tcW w:w="6960" w:type="dxa"/>
          </w:tcPr>
          <w:p w14:paraId="7A7AF788" w14:textId="77777777" w:rsidR="00FE4040" w:rsidRPr="006426F6" w:rsidRDefault="00FE4040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5A7720F4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Consistently</w:t>
            </w:r>
            <w:r w:rsidRPr="006426F6">
              <w:rPr>
                <w:rFonts w:cs="Arial"/>
              </w:rPr>
              <w:t xml:space="preserve"> demonstrated application of these competencies in:</w:t>
            </w:r>
          </w:p>
          <w:p w14:paraId="273816EB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 (1)</w:t>
            </w:r>
          </w:p>
          <w:p w14:paraId="2DD40CE4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3AFF404C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6D5289A9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1278015F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20D95F6C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4E2E77C4" w14:textId="77777777" w:rsidR="00FE4040" w:rsidRPr="006426F6" w:rsidRDefault="00FE4040" w:rsidP="00CB6FF8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FE4040" w:rsidRPr="006426F6" w14:paraId="030B0B0F" w14:textId="77777777" w:rsidTr="00556075">
        <w:tc>
          <w:tcPr>
            <w:tcW w:w="13188" w:type="dxa"/>
            <w:gridSpan w:val="2"/>
          </w:tcPr>
          <w:p w14:paraId="3A6D766C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1464E906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7E4C5235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50FAC2F3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3F15BC52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3FE659AD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</w:tc>
      </w:tr>
    </w:tbl>
    <w:p w14:paraId="59B3DD52" w14:textId="77777777" w:rsidR="00FE4040" w:rsidRDefault="00FE4040"/>
    <w:p w14:paraId="643E6656" w14:textId="77777777" w:rsidR="00FE4040" w:rsidRDefault="00FE4040">
      <w:r>
        <w:br w:type="page"/>
      </w:r>
    </w:p>
    <w:p w14:paraId="48E8D007" w14:textId="77777777" w:rsidR="00FE4040" w:rsidRDefault="00FE4040"/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FE4040" w:rsidRPr="006426F6" w14:paraId="22EE06D7" w14:textId="77777777" w:rsidTr="00556075">
        <w:tc>
          <w:tcPr>
            <w:tcW w:w="6228" w:type="dxa"/>
          </w:tcPr>
          <w:p w14:paraId="26816DC4" w14:textId="77777777" w:rsidR="00FE4040" w:rsidRPr="006426F6" w:rsidRDefault="00FE4040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Domain 7</w:t>
            </w:r>
            <w:r w:rsidR="00B14ED0" w:rsidRPr="006426F6">
              <w:rPr>
                <w:rFonts w:cs="Arial"/>
                <w:b/>
                <w:u w:val="single"/>
              </w:rPr>
              <w:t xml:space="preserve"> - Communication</w:t>
            </w:r>
          </w:p>
          <w:p w14:paraId="4E5CCE25" w14:textId="77777777" w:rsidR="00B14ED0" w:rsidRPr="006426F6" w:rsidRDefault="00B14ED0" w:rsidP="00FE4040">
            <w:pPr>
              <w:autoSpaceDE w:val="0"/>
              <w:autoSpaceDN w:val="0"/>
              <w:adjustRightInd w:val="0"/>
              <w:ind w:left="600" w:right="252" w:hanging="600"/>
              <w:rPr>
                <w:rFonts w:eastAsia="Calibri" w:cs="Arial"/>
                <w:sz w:val="24"/>
                <w:szCs w:val="24"/>
              </w:rPr>
            </w:pPr>
          </w:p>
          <w:p w14:paraId="595D4864" w14:textId="77777777" w:rsidR="00B14ED0" w:rsidRPr="006426F6" w:rsidRDefault="00B14ED0" w:rsidP="00B14ED0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7.1 </w:t>
            </w:r>
            <w:r w:rsidRPr="006426F6">
              <w:rPr>
                <w:rFonts w:cs="Arial"/>
                <w:sz w:val="24"/>
              </w:rPr>
              <w:tab/>
              <w:t xml:space="preserve">Provide information tailored to specific audiences (e.g., professional, community groups, general population) on population health status and health promotion action.  </w:t>
            </w:r>
          </w:p>
          <w:p w14:paraId="6AAF1432" w14:textId="77777777" w:rsidR="00B14ED0" w:rsidRPr="006426F6" w:rsidRDefault="00B14ED0" w:rsidP="00B14ED0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7.2 </w:t>
            </w:r>
            <w:r w:rsidRPr="006426F6">
              <w:rPr>
                <w:rFonts w:cs="Arial"/>
                <w:sz w:val="24"/>
              </w:rPr>
              <w:tab/>
              <w:t xml:space="preserve">Apply communication methods and techniques to the development, implementation and evaluation of health promotion action. </w:t>
            </w:r>
          </w:p>
          <w:p w14:paraId="59A6A345" w14:textId="77777777" w:rsidR="00B14ED0" w:rsidRPr="006426F6" w:rsidRDefault="00B14ED0" w:rsidP="00B14ED0">
            <w:pPr>
              <w:autoSpaceDE w:val="0"/>
              <w:autoSpaceDN w:val="0"/>
              <w:adjustRightInd w:val="0"/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7.3 </w:t>
            </w:r>
            <w:r w:rsidRPr="006426F6">
              <w:rPr>
                <w:rFonts w:cs="Arial"/>
                <w:sz w:val="24"/>
              </w:rPr>
              <w:tab/>
              <w:t>Use the media, information technologies, and community networks to receive and communicate information.</w:t>
            </w:r>
          </w:p>
          <w:p w14:paraId="68D2777D" w14:textId="77777777" w:rsidR="00B14ED0" w:rsidRPr="006426F6" w:rsidRDefault="00B14ED0" w:rsidP="00B14ED0">
            <w:pPr>
              <w:ind w:left="450" w:right="252" w:hanging="450"/>
              <w:rPr>
                <w:rFonts w:cs="Arial"/>
                <w:sz w:val="24"/>
              </w:rPr>
            </w:pPr>
            <w:r w:rsidRPr="006426F6">
              <w:rPr>
                <w:rFonts w:cs="Arial"/>
                <w:sz w:val="24"/>
              </w:rPr>
              <w:t xml:space="preserve">7.4 </w:t>
            </w:r>
            <w:r w:rsidRPr="006426F6">
              <w:rPr>
                <w:rFonts w:cs="Arial"/>
                <w:sz w:val="24"/>
              </w:rPr>
              <w:tab/>
              <w:t xml:space="preserve">Communicate with diverse populations in a </w:t>
            </w:r>
            <w:proofErr w:type="gramStart"/>
            <w:r w:rsidRPr="006426F6">
              <w:rPr>
                <w:rFonts w:cs="Arial"/>
                <w:sz w:val="24"/>
              </w:rPr>
              <w:t>culturally-appropriate</w:t>
            </w:r>
            <w:proofErr w:type="gramEnd"/>
            <w:r w:rsidRPr="006426F6">
              <w:rPr>
                <w:rFonts w:cs="Arial"/>
                <w:sz w:val="24"/>
              </w:rPr>
              <w:t xml:space="preserve"> manner.</w:t>
            </w:r>
          </w:p>
          <w:p w14:paraId="6D3EE60D" w14:textId="77777777" w:rsidR="00FE4040" w:rsidRPr="006426F6" w:rsidRDefault="00FE4040" w:rsidP="00B14ED0">
            <w:pPr>
              <w:ind w:left="600" w:right="252" w:hanging="600"/>
              <w:rPr>
                <w:rFonts w:cs="Arial"/>
              </w:rPr>
            </w:pPr>
          </w:p>
        </w:tc>
        <w:tc>
          <w:tcPr>
            <w:tcW w:w="6960" w:type="dxa"/>
          </w:tcPr>
          <w:p w14:paraId="210C734A" w14:textId="77777777" w:rsidR="00FE4040" w:rsidRPr="006426F6" w:rsidRDefault="00FE4040" w:rsidP="00556075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75AFAD61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Consistently</w:t>
            </w:r>
            <w:r w:rsidRPr="006426F6">
              <w:rPr>
                <w:rFonts w:cs="Arial"/>
              </w:rPr>
              <w:t xml:space="preserve"> demonstrated application of these competencies in:</w:t>
            </w:r>
          </w:p>
          <w:p w14:paraId="6F9B57B9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 (1)</w:t>
            </w:r>
          </w:p>
          <w:p w14:paraId="35814D38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3C7C1E4F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00A382B0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1BD94014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787C0433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48BA0210" w14:textId="77777777" w:rsidR="00FE4040" w:rsidRPr="006426F6" w:rsidRDefault="00FE4040" w:rsidP="00CB6FF8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FE4040" w:rsidRPr="006426F6" w14:paraId="54C71392" w14:textId="77777777" w:rsidTr="00556075">
        <w:tc>
          <w:tcPr>
            <w:tcW w:w="13188" w:type="dxa"/>
            <w:gridSpan w:val="2"/>
          </w:tcPr>
          <w:p w14:paraId="20893695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4AFFA8C0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4CF9B78C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230361FC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53D2B825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  <w:p w14:paraId="55EF34BD" w14:textId="77777777" w:rsidR="00FE4040" w:rsidRPr="006426F6" w:rsidRDefault="00FE4040" w:rsidP="00556075">
            <w:pPr>
              <w:pStyle w:val="NoSpacing"/>
              <w:rPr>
                <w:rFonts w:cs="Arial"/>
              </w:rPr>
            </w:pPr>
          </w:p>
        </w:tc>
      </w:tr>
    </w:tbl>
    <w:p w14:paraId="7446AADE" w14:textId="77777777" w:rsidR="008E63DE" w:rsidRDefault="008E63DE"/>
    <w:p w14:paraId="5615F6E4" w14:textId="77777777" w:rsidR="008E63DE" w:rsidRDefault="008E63DE">
      <w: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8E63DE" w:rsidRPr="006426F6" w14:paraId="61A68580" w14:textId="77777777" w:rsidTr="003C712B">
        <w:tc>
          <w:tcPr>
            <w:tcW w:w="6228" w:type="dxa"/>
          </w:tcPr>
          <w:p w14:paraId="23AD6691" w14:textId="77777777" w:rsidR="008E63DE" w:rsidRPr="006426F6" w:rsidRDefault="008E63DE" w:rsidP="003C712B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lastRenderedPageBreak/>
              <w:t>Domain 8</w:t>
            </w:r>
            <w:r w:rsidR="00B14ED0" w:rsidRPr="006426F6">
              <w:rPr>
                <w:rFonts w:cs="Arial"/>
                <w:b/>
                <w:u w:val="single"/>
              </w:rPr>
              <w:t xml:space="preserve"> – Diversity and Inclusiveness</w:t>
            </w:r>
          </w:p>
          <w:p w14:paraId="4E448511" w14:textId="77777777" w:rsidR="00B14ED0" w:rsidRPr="006426F6" w:rsidRDefault="00B14ED0" w:rsidP="003C712B">
            <w:pPr>
              <w:pStyle w:val="NoSpacing"/>
              <w:rPr>
                <w:rFonts w:cs="Arial"/>
                <w:b/>
                <w:u w:val="single"/>
              </w:rPr>
            </w:pPr>
          </w:p>
          <w:p w14:paraId="35B1C673" w14:textId="77777777" w:rsidR="00B14ED0" w:rsidRPr="006426F6" w:rsidRDefault="00B14ED0" w:rsidP="00B14ED0">
            <w:pPr>
              <w:ind w:left="450" w:right="252" w:hanging="450"/>
              <w:rPr>
                <w:rFonts w:cs="Arial"/>
                <w:sz w:val="24"/>
                <w:szCs w:val="20"/>
              </w:rPr>
            </w:pPr>
            <w:r w:rsidRPr="006426F6">
              <w:rPr>
                <w:rFonts w:cs="Arial"/>
                <w:sz w:val="24"/>
              </w:rPr>
              <w:t>8.1</w:t>
            </w:r>
            <w:r w:rsidRPr="006426F6">
              <w:rPr>
                <w:rFonts w:cs="Arial"/>
                <w:sz w:val="24"/>
              </w:rPr>
              <w:tab/>
            </w:r>
            <w:r w:rsidRPr="006426F6">
              <w:rPr>
                <w:rFonts w:cs="Arial"/>
                <w:sz w:val="24"/>
                <w:szCs w:val="20"/>
              </w:rPr>
              <w:t xml:space="preserve">Recognize how the determinants of health (biological, social, cultural, economic and physical environments) influence the health and </w:t>
            </w:r>
            <w:proofErr w:type="gramStart"/>
            <w:r w:rsidRPr="006426F6">
              <w:rPr>
                <w:rFonts w:cs="Arial"/>
                <w:sz w:val="24"/>
                <w:szCs w:val="20"/>
              </w:rPr>
              <w:t>well-being</w:t>
            </w:r>
            <w:proofErr w:type="gramEnd"/>
            <w:r w:rsidRPr="006426F6">
              <w:rPr>
                <w:rFonts w:cs="Arial"/>
                <w:sz w:val="24"/>
                <w:szCs w:val="20"/>
              </w:rPr>
              <w:t xml:space="preserve"> of specific population groups.</w:t>
            </w:r>
          </w:p>
          <w:p w14:paraId="00170B7D" w14:textId="77777777" w:rsidR="00B14ED0" w:rsidRPr="006426F6" w:rsidRDefault="00B14ED0" w:rsidP="00B14ED0">
            <w:pPr>
              <w:ind w:left="450" w:right="252" w:hanging="450"/>
              <w:rPr>
                <w:rFonts w:cs="Arial"/>
                <w:sz w:val="24"/>
                <w:szCs w:val="20"/>
              </w:rPr>
            </w:pPr>
            <w:r w:rsidRPr="006426F6">
              <w:rPr>
                <w:rFonts w:cs="Arial"/>
                <w:sz w:val="24"/>
                <w:szCs w:val="20"/>
              </w:rPr>
              <w:t>8.2</w:t>
            </w:r>
            <w:r w:rsidRPr="006426F6">
              <w:rPr>
                <w:rFonts w:cs="Arial"/>
                <w:sz w:val="24"/>
                <w:szCs w:val="20"/>
              </w:rPr>
              <w:tab/>
              <w:t>Address population diversity when planning, implementing, adapting and evaluating health promotion action.</w:t>
            </w:r>
          </w:p>
          <w:p w14:paraId="0F20687F" w14:textId="77777777" w:rsidR="00B14ED0" w:rsidRPr="006426F6" w:rsidRDefault="00B14ED0" w:rsidP="00B14ED0">
            <w:pPr>
              <w:ind w:left="450" w:right="252" w:hanging="450"/>
              <w:rPr>
                <w:rFonts w:cs="Arial"/>
                <w:sz w:val="24"/>
                <w:szCs w:val="20"/>
              </w:rPr>
            </w:pPr>
            <w:r w:rsidRPr="006426F6">
              <w:rPr>
                <w:rFonts w:cs="Arial"/>
                <w:sz w:val="24"/>
                <w:szCs w:val="20"/>
              </w:rPr>
              <w:t>8.3</w:t>
            </w:r>
            <w:r w:rsidRPr="006426F6">
              <w:rPr>
                <w:rFonts w:cs="Arial"/>
                <w:sz w:val="24"/>
                <w:szCs w:val="20"/>
              </w:rPr>
              <w:tab/>
              <w:t xml:space="preserve">Apply </w:t>
            </w:r>
            <w:proofErr w:type="gramStart"/>
            <w:r w:rsidRPr="006426F6">
              <w:rPr>
                <w:rFonts w:cs="Arial"/>
                <w:sz w:val="24"/>
                <w:szCs w:val="20"/>
              </w:rPr>
              <w:t>culturally-relevant</w:t>
            </w:r>
            <w:proofErr w:type="gramEnd"/>
            <w:r w:rsidRPr="006426F6">
              <w:rPr>
                <w:rFonts w:cs="Arial"/>
                <w:sz w:val="24"/>
                <w:szCs w:val="20"/>
              </w:rPr>
              <w:t xml:space="preserve"> and appropriate approaches with people from diverse cultural, socioeconomic and educational backgrounds, and persons of all ages, genders, health status, sexual orientations and abilities.</w:t>
            </w:r>
          </w:p>
          <w:p w14:paraId="69557873" w14:textId="77777777" w:rsidR="008E63DE" w:rsidRPr="006426F6" w:rsidRDefault="008E63DE" w:rsidP="00B14ED0">
            <w:pPr>
              <w:pStyle w:val="NoSpacing"/>
              <w:ind w:left="720" w:hanging="720"/>
              <w:rPr>
                <w:rFonts w:cs="Arial"/>
              </w:rPr>
            </w:pPr>
          </w:p>
        </w:tc>
        <w:tc>
          <w:tcPr>
            <w:tcW w:w="6960" w:type="dxa"/>
          </w:tcPr>
          <w:p w14:paraId="0EFAB0A3" w14:textId="77777777" w:rsidR="008E63DE" w:rsidRPr="006426F6" w:rsidRDefault="008E63DE" w:rsidP="003C712B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42570AD9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Consistently</w:t>
            </w:r>
            <w:r w:rsidRPr="006426F6">
              <w:rPr>
                <w:rFonts w:cs="Arial"/>
              </w:rPr>
              <w:t xml:space="preserve"> demonstrated application of these competencies in:</w:t>
            </w:r>
          </w:p>
          <w:p w14:paraId="2047F210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 (1)</w:t>
            </w:r>
          </w:p>
          <w:p w14:paraId="031E1161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338D673E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52BE876C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725E192A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1EF865C8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3A657782" w14:textId="77777777" w:rsidR="008E63DE" w:rsidRPr="006426F6" w:rsidRDefault="008E63DE" w:rsidP="00CB6FF8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8E63DE" w:rsidRPr="006426F6" w14:paraId="2CECFFA5" w14:textId="77777777" w:rsidTr="003C712B">
        <w:tc>
          <w:tcPr>
            <w:tcW w:w="13188" w:type="dxa"/>
            <w:gridSpan w:val="2"/>
          </w:tcPr>
          <w:p w14:paraId="4C5C6015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0EDEE4A4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  <w:p w14:paraId="17F62758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  <w:p w14:paraId="5950248C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  <w:p w14:paraId="7296F6EF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  <w:p w14:paraId="248C1421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</w:tc>
      </w:tr>
    </w:tbl>
    <w:p w14:paraId="1B1825A0" w14:textId="77777777" w:rsidR="008E63DE" w:rsidRDefault="008E63DE"/>
    <w:p w14:paraId="086825F3" w14:textId="77777777" w:rsidR="008E63DE" w:rsidRDefault="008E63DE">
      <w:r>
        <w:br w:type="page"/>
      </w:r>
    </w:p>
    <w:tbl>
      <w:tblPr>
        <w:tblStyle w:val="TableGrid"/>
        <w:tblW w:w="13188" w:type="dxa"/>
        <w:tblLook w:val="04A0" w:firstRow="1" w:lastRow="0" w:firstColumn="1" w:lastColumn="0" w:noHBand="0" w:noVBand="1"/>
      </w:tblPr>
      <w:tblGrid>
        <w:gridCol w:w="6228"/>
        <w:gridCol w:w="6960"/>
      </w:tblGrid>
      <w:tr w:rsidR="008E63DE" w:rsidRPr="006426F6" w14:paraId="49837502" w14:textId="77777777" w:rsidTr="003C712B">
        <w:tc>
          <w:tcPr>
            <w:tcW w:w="6228" w:type="dxa"/>
          </w:tcPr>
          <w:p w14:paraId="1E847EF2" w14:textId="77777777" w:rsidR="008E63DE" w:rsidRPr="006426F6" w:rsidRDefault="008E63DE" w:rsidP="003C712B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lastRenderedPageBreak/>
              <w:t>Domain 9</w:t>
            </w:r>
            <w:r w:rsidR="00B14ED0" w:rsidRPr="006426F6">
              <w:rPr>
                <w:rFonts w:cs="Arial"/>
                <w:b/>
                <w:u w:val="single"/>
              </w:rPr>
              <w:t xml:space="preserve"> – Leadership and Building Organizational Capacity</w:t>
            </w:r>
          </w:p>
          <w:p w14:paraId="5C06CF12" w14:textId="77777777" w:rsidR="00B14ED0" w:rsidRPr="006426F6" w:rsidRDefault="00B14ED0" w:rsidP="003C712B">
            <w:pPr>
              <w:pStyle w:val="NoSpacing"/>
              <w:rPr>
                <w:rFonts w:cs="Arial"/>
                <w:b/>
                <w:u w:val="single"/>
              </w:rPr>
            </w:pPr>
          </w:p>
          <w:p w14:paraId="0C42D87C" w14:textId="77777777" w:rsidR="00B14ED0" w:rsidRPr="006426F6" w:rsidRDefault="00B14ED0" w:rsidP="00B14ED0">
            <w:pPr>
              <w:ind w:left="450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>9.1</w:t>
            </w:r>
            <w:r w:rsidRPr="006426F6">
              <w:rPr>
                <w:rFonts w:cs="Arial"/>
                <w:sz w:val="24"/>
                <w:szCs w:val="24"/>
              </w:rPr>
              <w:tab/>
              <w:t>Describe the context of health promotion structures and roles at different jurisdictional levels.</w:t>
            </w:r>
          </w:p>
          <w:p w14:paraId="7B77B295" w14:textId="77777777" w:rsidR="00B14ED0" w:rsidRPr="006426F6" w:rsidRDefault="00B14ED0" w:rsidP="00B14ED0">
            <w:pPr>
              <w:ind w:left="450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>9.2</w:t>
            </w:r>
            <w:r w:rsidRPr="006426F6">
              <w:rPr>
                <w:rFonts w:cs="Arial"/>
                <w:sz w:val="24"/>
                <w:szCs w:val="24"/>
              </w:rPr>
              <w:tab/>
              <w:t>Describe how the work of health promotion supports the organization’s vision, mission and priorities.</w:t>
            </w:r>
          </w:p>
          <w:p w14:paraId="3A0AFE68" w14:textId="77777777" w:rsidR="00B14ED0" w:rsidRPr="006426F6" w:rsidRDefault="00B14ED0" w:rsidP="00B14ED0">
            <w:pPr>
              <w:ind w:left="450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>9.3</w:t>
            </w:r>
            <w:r w:rsidRPr="006426F6">
              <w:rPr>
                <w:rFonts w:cs="Arial"/>
                <w:sz w:val="24"/>
                <w:szCs w:val="24"/>
              </w:rPr>
              <w:tab/>
              <w:t>Contribute to developing key values and a shared vision in planning and implementing health promotion action in the community.</w:t>
            </w:r>
          </w:p>
          <w:p w14:paraId="52CEB46C" w14:textId="77777777" w:rsidR="00B14ED0" w:rsidRPr="006426F6" w:rsidRDefault="00B14ED0" w:rsidP="00B14ED0">
            <w:pPr>
              <w:ind w:left="450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>9.4</w:t>
            </w:r>
            <w:r w:rsidRPr="006426F6">
              <w:rPr>
                <w:rFonts w:cs="Arial"/>
                <w:sz w:val="24"/>
                <w:szCs w:val="24"/>
              </w:rPr>
              <w:tab/>
              <w:t>Demonstrate an ability to set and follow priorities, and to maximize outcomes based on available resources.</w:t>
            </w:r>
          </w:p>
          <w:p w14:paraId="5EEC6880" w14:textId="77777777" w:rsidR="00B14ED0" w:rsidRPr="006426F6" w:rsidRDefault="00B14ED0" w:rsidP="00B14ED0">
            <w:pPr>
              <w:ind w:left="450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>9.5</w:t>
            </w:r>
            <w:r w:rsidRPr="006426F6">
              <w:rPr>
                <w:rFonts w:cs="Arial"/>
                <w:sz w:val="24"/>
                <w:szCs w:val="24"/>
              </w:rPr>
              <w:tab/>
              <w:t>Contribute to maintaining organizational performance standards.</w:t>
            </w:r>
          </w:p>
          <w:p w14:paraId="2E71EB77" w14:textId="77777777" w:rsidR="00B14ED0" w:rsidRPr="006426F6" w:rsidRDefault="00B14ED0" w:rsidP="00B14ED0">
            <w:pPr>
              <w:ind w:left="450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>9.6</w:t>
            </w:r>
            <w:r w:rsidRPr="006426F6">
              <w:rPr>
                <w:rFonts w:cs="Arial"/>
                <w:sz w:val="24"/>
                <w:szCs w:val="24"/>
              </w:rPr>
              <w:tab/>
              <w:t>Manage self, others, information and resources in an ethical manner.</w:t>
            </w:r>
          </w:p>
          <w:p w14:paraId="6362FC76" w14:textId="77777777" w:rsidR="00B14ED0" w:rsidRPr="006426F6" w:rsidRDefault="00B14ED0" w:rsidP="00B14ED0">
            <w:pPr>
              <w:ind w:left="450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>9.7</w:t>
            </w:r>
            <w:r w:rsidRPr="006426F6">
              <w:rPr>
                <w:rFonts w:cs="Arial"/>
                <w:sz w:val="24"/>
                <w:szCs w:val="24"/>
              </w:rPr>
              <w:tab/>
              <w:t>Contribute to team and organizational learning in order to advance health promotion goals (e.g., mentor students and other staff; participate in research and quality assurance initiatives).</w:t>
            </w:r>
          </w:p>
          <w:p w14:paraId="677C189A" w14:textId="77777777" w:rsidR="00B14ED0" w:rsidRPr="006426F6" w:rsidRDefault="00B14ED0" w:rsidP="00B14ED0">
            <w:pPr>
              <w:ind w:left="450" w:hanging="450"/>
              <w:rPr>
                <w:rFonts w:cs="Arial"/>
                <w:sz w:val="24"/>
                <w:szCs w:val="24"/>
              </w:rPr>
            </w:pPr>
            <w:r w:rsidRPr="006426F6">
              <w:rPr>
                <w:rFonts w:cs="Arial"/>
                <w:sz w:val="24"/>
                <w:szCs w:val="24"/>
              </w:rPr>
              <w:t>9.8</w:t>
            </w:r>
            <w:r w:rsidRPr="006426F6">
              <w:rPr>
                <w:rFonts w:cs="Arial"/>
                <w:sz w:val="24"/>
                <w:szCs w:val="24"/>
              </w:rPr>
              <w:tab/>
              <w:t>Pursue lifelong learning in the field of health promotion (e.g., professional development; practice development).</w:t>
            </w:r>
          </w:p>
          <w:p w14:paraId="1EC8AEB4" w14:textId="77777777" w:rsidR="008E63DE" w:rsidRPr="006426F6" w:rsidRDefault="008E63DE" w:rsidP="00B14ED0">
            <w:pPr>
              <w:ind w:left="720" w:hanging="720"/>
              <w:rPr>
                <w:rFonts w:cs="Arial"/>
              </w:rPr>
            </w:pPr>
          </w:p>
        </w:tc>
        <w:tc>
          <w:tcPr>
            <w:tcW w:w="6960" w:type="dxa"/>
          </w:tcPr>
          <w:p w14:paraId="13E2F24E" w14:textId="77777777" w:rsidR="008E63DE" w:rsidRPr="006426F6" w:rsidRDefault="008E63DE" w:rsidP="003C712B">
            <w:pPr>
              <w:pStyle w:val="NoSpacing"/>
              <w:rPr>
                <w:rFonts w:cs="Arial"/>
                <w:b/>
                <w:u w:val="single"/>
              </w:rPr>
            </w:pPr>
            <w:r w:rsidRPr="006426F6">
              <w:rPr>
                <w:rFonts w:cs="Arial"/>
                <w:b/>
                <w:u w:val="single"/>
              </w:rPr>
              <w:t>Rating</w:t>
            </w:r>
          </w:p>
          <w:p w14:paraId="047655AF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u w:val="single"/>
              </w:rPr>
              <w:t>Consistently</w:t>
            </w:r>
            <w:r w:rsidRPr="006426F6">
              <w:rPr>
                <w:rFonts w:cs="Arial"/>
              </w:rPr>
              <w:t xml:space="preserve"> demonstrated application of these competencies in:</w:t>
            </w:r>
          </w:p>
          <w:p w14:paraId="4AC1C8A8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Simplest situations; require close and extensive guidance (1)</w:t>
            </w:r>
          </w:p>
          <w:p w14:paraId="073BA3B6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Routine/somewhat difficult situations; require frequent guidance (2)</w:t>
            </w:r>
          </w:p>
          <w:p w14:paraId="160425F5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Difficult/considerably difficult situations; require occasional/infrequent guidance (3)</w:t>
            </w:r>
          </w:p>
          <w:p w14:paraId="3830DB41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Exceptionally difficult situations; provides expert guidance to others (4)</w:t>
            </w:r>
          </w:p>
          <w:p w14:paraId="45582FBE" w14:textId="77777777" w:rsidR="00CB6FF8" w:rsidRPr="006426F6" w:rsidRDefault="00CB6FF8" w:rsidP="00CB6FF8">
            <w:pPr>
              <w:pStyle w:val="NoSpacing"/>
              <w:rPr>
                <w:rFonts w:cs="Arial"/>
              </w:rPr>
            </w:pPr>
          </w:p>
          <w:p w14:paraId="632C71C6" w14:textId="77777777" w:rsidR="00CB6FF8" w:rsidRPr="006426F6" w:rsidRDefault="00CB6FF8" w:rsidP="00CB6FF8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6426F6">
              <w:rPr>
                <w:rFonts w:cs="Arial"/>
              </w:rPr>
              <w:t>Not demonstrated during this period (0)</w:t>
            </w:r>
          </w:p>
          <w:p w14:paraId="3B15AC65" w14:textId="77777777" w:rsidR="008E63DE" w:rsidRPr="006426F6" w:rsidRDefault="008E63DE" w:rsidP="00CB6FF8">
            <w:pPr>
              <w:pStyle w:val="NoSpacing"/>
              <w:ind w:left="360"/>
              <w:rPr>
                <w:rFonts w:cs="Arial"/>
              </w:rPr>
            </w:pPr>
          </w:p>
        </w:tc>
      </w:tr>
      <w:tr w:rsidR="008E63DE" w:rsidRPr="006426F6" w14:paraId="7FB77028" w14:textId="77777777" w:rsidTr="003C712B">
        <w:tc>
          <w:tcPr>
            <w:tcW w:w="13188" w:type="dxa"/>
            <w:gridSpan w:val="2"/>
          </w:tcPr>
          <w:p w14:paraId="532CB128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  <w:r w:rsidRPr="006426F6">
              <w:rPr>
                <w:rFonts w:cs="Arial"/>
                <w:b/>
                <w:u w:val="single"/>
              </w:rPr>
              <w:t>Supporting Evidence</w:t>
            </w:r>
            <w:r w:rsidRPr="006426F6">
              <w:rPr>
                <w:rFonts w:cs="Arial"/>
              </w:rPr>
              <w:t xml:space="preserve"> (include example):</w:t>
            </w:r>
          </w:p>
          <w:p w14:paraId="749526CB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  <w:p w14:paraId="18FE1CBB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  <w:p w14:paraId="67A0E376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  <w:p w14:paraId="2243022E" w14:textId="77777777" w:rsidR="008E63DE" w:rsidRPr="006426F6" w:rsidRDefault="008E63DE" w:rsidP="003C712B">
            <w:pPr>
              <w:pStyle w:val="NoSpacing"/>
              <w:rPr>
                <w:rFonts w:cs="Arial"/>
              </w:rPr>
            </w:pPr>
          </w:p>
        </w:tc>
      </w:tr>
    </w:tbl>
    <w:p w14:paraId="3B569961" w14:textId="77777777" w:rsidR="00194F17" w:rsidRDefault="00194F17" w:rsidP="00194F17">
      <w:pPr>
        <w:pStyle w:val="Heading1"/>
      </w:pPr>
      <w:r>
        <w:lastRenderedPageBreak/>
        <w:t>Section 2 – Results Summary</w:t>
      </w:r>
    </w:p>
    <w:p w14:paraId="0446F8FB" w14:textId="77777777" w:rsidR="00194F17" w:rsidRDefault="00194F17" w:rsidP="00194F17"/>
    <w:p w14:paraId="31CA6763" w14:textId="77777777" w:rsidR="00194F17" w:rsidRDefault="00194F17" w:rsidP="00194F17">
      <w:pPr>
        <w:pStyle w:val="ListParagraph"/>
        <w:numPr>
          <w:ilvl w:val="0"/>
          <w:numId w:val="4"/>
        </w:numPr>
      </w:pPr>
      <w:r>
        <w:t>In the following table, mark your rating for each of the domains</w:t>
      </w:r>
    </w:p>
    <w:p w14:paraId="3CED0F44" w14:textId="77777777" w:rsidR="00194F17" w:rsidRDefault="00194F17" w:rsidP="00194F17">
      <w:pPr>
        <w:pStyle w:val="ListParagraph"/>
        <w:numPr>
          <w:ilvl w:val="0"/>
          <w:numId w:val="4"/>
        </w:numPr>
      </w:pPr>
      <w:r>
        <w:t>Include the target rating for your current or next desired position</w:t>
      </w:r>
    </w:p>
    <w:p w14:paraId="6D6F766C" w14:textId="77777777" w:rsidR="00194F17" w:rsidRDefault="00194F17" w:rsidP="00194F17">
      <w:pPr>
        <w:pStyle w:val="ListParagraph"/>
        <w:numPr>
          <w:ilvl w:val="0"/>
          <w:numId w:val="4"/>
        </w:numPr>
      </w:pPr>
      <w:r>
        <w:t>Identify where meet, exceed or fall short on each competency domain</w:t>
      </w:r>
    </w:p>
    <w:p w14:paraId="681EFB74" w14:textId="77777777" w:rsidR="00194F17" w:rsidRDefault="00194F17" w:rsidP="00194F17">
      <w:pPr>
        <w:pStyle w:val="ListParagraph"/>
        <w:numPr>
          <w:ilvl w:val="0"/>
          <w:numId w:val="4"/>
        </w:numPr>
      </w:pPr>
      <w:r>
        <w:t>Consider discussing your assessment results with your supervisor or mentor</w:t>
      </w:r>
    </w:p>
    <w:tbl>
      <w:tblPr>
        <w:tblStyle w:val="TableGrid"/>
        <w:tblW w:w="14028" w:type="dxa"/>
        <w:tblLayout w:type="fixed"/>
        <w:tblLook w:val="04A0" w:firstRow="1" w:lastRow="0" w:firstColumn="1" w:lastColumn="0" w:noHBand="0" w:noVBand="1"/>
      </w:tblPr>
      <w:tblGrid>
        <w:gridCol w:w="547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8E63DE" w:rsidRPr="006426F6" w14:paraId="787B3166" w14:textId="77777777" w:rsidTr="008E63DE">
        <w:trPr>
          <w:cantSplit/>
          <w:trHeight w:val="2040"/>
        </w:trPr>
        <w:tc>
          <w:tcPr>
            <w:tcW w:w="547" w:type="dxa"/>
            <w:vMerge w:val="restart"/>
            <w:shd w:val="clear" w:color="auto" w:fill="D9D9D9" w:themeFill="background1" w:themeFillShade="D9"/>
            <w:textDirection w:val="btLr"/>
          </w:tcPr>
          <w:p w14:paraId="07A1727A" w14:textId="77777777" w:rsidR="008E63DE" w:rsidRPr="006426F6" w:rsidRDefault="008E63DE" w:rsidP="008E63DE">
            <w:pPr>
              <w:ind w:left="113" w:right="113"/>
              <w:rPr>
                <w:rFonts w:cs="Arial"/>
                <w:b/>
              </w:rPr>
            </w:pPr>
            <w:r w:rsidRPr="006426F6">
              <w:rPr>
                <w:rFonts w:cs="Arial"/>
                <w:b/>
              </w:rPr>
              <w:t>Competency Level</w:t>
            </w:r>
          </w:p>
        </w:tc>
        <w:tc>
          <w:tcPr>
            <w:tcW w:w="1497" w:type="dxa"/>
            <w:gridSpan w:val="2"/>
            <w:textDirection w:val="btLr"/>
            <w:vAlign w:val="center"/>
          </w:tcPr>
          <w:p w14:paraId="57B163EC" w14:textId="77777777" w:rsidR="008E63DE" w:rsidRPr="006426F6" w:rsidRDefault="008E63DE" w:rsidP="00B14ED0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  <w:b/>
              </w:rPr>
              <w:t xml:space="preserve">1. </w:t>
            </w:r>
            <w:r w:rsidR="00B14ED0" w:rsidRPr="006426F6">
              <w:rPr>
                <w:rFonts w:cs="Arial"/>
                <w:b/>
              </w:rPr>
              <w:t>Health Promotion</w:t>
            </w:r>
            <w:r w:rsidRPr="006426F6">
              <w:rPr>
                <w:rFonts w:cs="Arial"/>
                <w:b/>
              </w:rPr>
              <w:t xml:space="preserve"> </w:t>
            </w:r>
            <w:r w:rsidR="00B14ED0" w:rsidRPr="006426F6">
              <w:rPr>
                <w:rFonts w:cs="Arial"/>
                <w:b/>
              </w:rPr>
              <w:t>K</w:t>
            </w:r>
            <w:r w:rsidRPr="006426F6">
              <w:rPr>
                <w:rFonts w:cs="Arial"/>
                <w:b/>
              </w:rPr>
              <w:t>nowledge &amp; Skills</w:t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4B533804" w14:textId="77777777" w:rsidR="008E63DE" w:rsidRPr="006426F6" w:rsidRDefault="008E63DE" w:rsidP="008E63DE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  <w:b/>
              </w:rPr>
              <w:t>2. Situational Assessment</w:t>
            </w:r>
            <w:r w:rsidR="00B14ED0" w:rsidRPr="006426F6">
              <w:rPr>
                <w:rFonts w:cs="Arial"/>
                <w:b/>
              </w:rPr>
              <w:t>s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14:paraId="5298BEC7" w14:textId="77777777" w:rsidR="008E63DE" w:rsidRPr="006426F6" w:rsidRDefault="008E63DE" w:rsidP="00B14ED0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  <w:b/>
              </w:rPr>
              <w:t xml:space="preserve">3. Plan </w:t>
            </w:r>
            <w:r w:rsidR="00B14ED0" w:rsidRPr="006426F6">
              <w:rPr>
                <w:rFonts w:cs="Arial"/>
                <w:b/>
              </w:rPr>
              <w:t xml:space="preserve">&amp; Evaluate </w:t>
            </w:r>
            <w:r w:rsidRPr="006426F6">
              <w:rPr>
                <w:rFonts w:cs="Arial"/>
                <w:b/>
              </w:rPr>
              <w:t xml:space="preserve">Health Promotion </w:t>
            </w:r>
            <w:r w:rsidR="00B14ED0" w:rsidRPr="006426F6">
              <w:rPr>
                <w:rFonts w:cs="Arial"/>
                <w:b/>
              </w:rPr>
              <w:t>Action</w:t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48DBC384" w14:textId="77777777" w:rsidR="008E63DE" w:rsidRPr="006426F6" w:rsidRDefault="008E63DE" w:rsidP="008E63DE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  <w:b/>
              </w:rPr>
              <w:t>4. Policy Development &amp; Advocacy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14:paraId="31E87605" w14:textId="77777777" w:rsidR="008E63DE" w:rsidRPr="006426F6" w:rsidRDefault="008E63DE" w:rsidP="00B14ED0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  <w:b/>
              </w:rPr>
              <w:t xml:space="preserve">5. Community Mobilization </w:t>
            </w:r>
            <w:r w:rsidR="00B14ED0" w:rsidRPr="006426F6">
              <w:rPr>
                <w:rFonts w:cs="Arial"/>
                <w:b/>
              </w:rPr>
              <w:t xml:space="preserve">&amp; </w:t>
            </w:r>
            <w:r w:rsidRPr="006426F6">
              <w:rPr>
                <w:rFonts w:cs="Arial"/>
                <w:b/>
              </w:rPr>
              <w:t>Building Community Capacity</w:t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E047A34" w14:textId="77777777" w:rsidR="008E63DE" w:rsidRPr="006426F6" w:rsidRDefault="008E63DE" w:rsidP="008E63DE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  <w:b/>
              </w:rPr>
              <w:t>6. Partnerships and Collaboration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14:paraId="4CD0F54E" w14:textId="77777777" w:rsidR="008E63DE" w:rsidRPr="006426F6" w:rsidRDefault="008E63DE" w:rsidP="008E63DE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  <w:b/>
              </w:rPr>
              <w:t>7. Communication</w:t>
            </w: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75F9811" w14:textId="77777777" w:rsidR="008E63DE" w:rsidRPr="006426F6" w:rsidRDefault="008E63DE" w:rsidP="008E63DE">
            <w:pPr>
              <w:ind w:left="113" w:right="113"/>
              <w:rPr>
                <w:rFonts w:cs="Arial"/>
                <w:b/>
              </w:rPr>
            </w:pPr>
            <w:r w:rsidRPr="006426F6">
              <w:rPr>
                <w:rFonts w:cs="Arial"/>
                <w:b/>
              </w:rPr>
              <w:t>8. Diversity and Inclusiveness</w:t>
            </w:r>
          </w:p>
        </w:tc>
        <w:tc>
          <w:tcPr>
            <w:tcW w:w="1498" w:type="dxa"/>
            <w:gridSpan w:val="2"/>
            <w:textDirection w:val="btLr"/>
            <w:vAlign w:val="center"/>
          </w:tcPr>
          <w:p w14:paraId="795978C6" w14:textId="77777777" w:rsidR="008E63DE" w:rsidRPr="006426F6" w:rsidRDefault="008E63DE" w:rsidP="00B14ED0">
            <w:pPr>
              <w:ind w:left="113" w:right="113"/>
              <w:rPr>
                <w:rFonts w:cs="Arial"/>
                <w:b/>
              </w:rPr>
            </w:pPr>
            <w:r w:rsidRPr="006426F6">
              <w:rPr>
                <w:rFonts w:cs="Arial"/>
                <w:b/>
              </w:rPr>
              <w:t xml:space="preserve">9. Leadership </w:t>
            </w:r>
            <w:r w:rsidR="00B14ED0" w:rsidRPr="006426F6">
              <w:rPr>
                <w:rFonts w:cs="Arial"/>
                <w:b/>
              </w:rPr>
              <w:t xml:space="preserve"> &amp; </w:t>
            </w:r>
            <w:r w:rsidRPr="006426F6">
              <w:rPr>
                <w:rFonts w:cs="Arial"/>
                <w:b/>
              </w:rPr>
              <w:t>Building Organizational Capacity</w:t>
            </w:r>
          </w:p>
        </w:tc>
      </w:tr>
      <w:tr w:rsidR="008E63DE" w:rsidRPr="006426F6" w14:paraId="20940A18" w14:textId="77777777" w:rsidTr="008E63DE">
        <w:trPr>
          <w:cantSplit/>
          <w:trHeight w:val="1134"/>
        </w:trPr>
        <w:tc>
          <w:tcPr>
            <w:tcW w:w="547" w:type="dxa"/>
            <w:vMerge/>
            <w:shd w:val="clear" w:color="auto" w:fill="D9D9D9" w:themeFill="background1" w:themeFillShade="D9"/>
          </w:tcPr>
          <w:p w14:paraId="2922FE6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8" w:type="dxa"/>
            <w:textDirection w:val="btLr"/>
            <w:vAlign w:val="center"/>
          </w:tcPr>
          <w:p w14:paraId="3E879CD9" w14:textId="77777777" w:rsidR="008E63DE" w:rsidRPr="006426F6" w:rsidRDefault="008E63DE" w:rsidP="003F0562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textDirection w:val="btLr"/>
            <w:vAlign w:val="center"/>
          </w:tcPr>
          <w:p w14:paraId="73991755" w14:textId="77777777" w:rsidR="008E63DE" w:rsidRPr="006426F6" w:rsidRDefault="008E63DE" w:rsidP="003F0562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5321044D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34AED185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  <w:tc>
          <w:tcPr>
            <w:tcW w:w="749" w:type="dxa"/>
            <w:textDirection w:val="btLr"/>
            <w:vAlign w:val="center"/>
          </w:tcPr>
          <w:p w14:paraId="31A8A319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textDirection w:val="btLr"/>
            <w:vAlign w:val="center"/>
          </w:tcPr>
          <w:p w14:paraId="2D85D05F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0197A1A2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31208484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  <w:tc>
          <w:tcPr>
            <w:tcW w:w="749" w:type="dxa"/>
            <w:textDirection w:val="btLr"/>
            <w:vAlign w:val="center"/>
          </w:tcPr>
          <w:p w14:paraId="47888C6D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textDirection w:val="btLr"/>
            <w:vAlign w:val="center"/>
          </w:tcPr>
          <w:p w14:paraId="5C801A15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3975901D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6E26855E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  <w:tc>
          <w:tcPr>
            <w:tcW w:w="749" w:type="dxa"/>
            <w:textDirection w:val="btLr"/>
            <w:vAlign w:val="center"/>
          </w:tcPr>
          <w:p w14:paraId="56D7695F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textDirection w:val="btLr"/>
            <w:vAlign w:val="center"/>
          </w:tcPr>
          <w:p w14:paraId="20F25607" w14:textId="77777777" w:rsidR="008E63DE" w:rsidRPr="006426F6" w:rsidRDefault="008E63DE" w:rsidP="00556075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0BDB0F55" w14:textId="77777777" w:rsidR="008E63DE" w:rsidRPr="006426F6" w:rsidRDefault="008E63DE" w:rsidP="003C712B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shd w:val="clear" w:color="auto" w:fill="D9D9D9" w:themeFill="background1" w:themeFillShade="D9"/>
            <w:textDirection w:val="btLr"/>
            <w:vAlign w:val="center"/>
          </w:tcPr>
          <w:p w14:paraId="6DE7D99D" w14:textId="77777777" w:rsidR="008E63DE" w:rsidRPr="006426F6" w:rsidRDefault="008E63DE" w:rsidP="003C712B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  <w:tc>
          <w:tcPr>
            <w:tcW w:w="749" w:type="dxa"/>
            <w:textDirection w:val="btLr"/>
            <w:vAlign w:val="center"/>
          </w:tcPr>
          <w:p w14:paraId="72943C8A" w14:textId="77777777" w:rsidR="008E63DE" w:rsidRPr="006426F6" w:rsidRDefault="008E63DE" w:rsidP="003C712B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Your Rating</w:t>
            </w:r>
          </w:p>
        </w:tc>
        <w:tc>
          <w:tcPr>
            <w:tcW w:w="749" w:type="dxa"/>
            <w:textDirection w:val="btLr"/>
            <w:vAlign w:val="center"/>
          </w:tcPr>
          <w:p w14:paraId="3BE3788A" w14:textId="77777777" w:rsidR="008E63DE" w:rsidRPr="006426F6" w:rsidRDefault="008E63DE" w:rsidP="003C712B">
            <w:pPr>
              <w:ind w:left="113" w:right="113"/>
              <w:rPr>
                <w:rFonts w:cs="Arial"/>
              </w:rPr>
            </w:pPr>
            <w:r w:rsidRPr="006426F6">
              <w:rPr>
                <w:rFonts w:cs="Arial"/>
              </w:rPr>
              <w:t>Target</w:t>
            </w:r>
          </w:p>
        </w:tc>
      </w:tr>
      <w:tr w:rsidR="008E63DE" w:rsidRPr="006426F6" w14:paraId="7B1FC16C" w14:textId="77777777" w:rsidTr="008E63DE">
        <w:trPr>
          <w:trHeight w:val="494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6A540AE4" w14:textId="77777777" w:rsidR="008E63DE" w:rsidRPr="006426F6" w:rsidRDefault="008E63DE" w:rsidP="008E63DE">
            <w:pPr>
              <w:jc w:val="center"/>
              <w:rPr>
                <w:rFonts w:cs="Arial"/>
              </w:rPr>
            </w:pPr>
            <w:r w:rsidRPr="006426F6">
              <w:rPr>
                <w:rFonts w:cs="Arial"/>
              </w:rPr>
              <w:t>0</w:t>
            </w:r>
          </w:p>
        </w:tc>
        <w:tc>
          <w:tcPr>
            <w:tcW w:w="748" w:type="dxa"/>
          </w:tcPr>
          <w:p w14:paraId="3532B44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53BE841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649F03D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D9219EB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8F92A54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9D9D02D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4142B4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4CC65C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06A8014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0C05D0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EBCABC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715F48A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0531B6A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F4F7DB5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7967E8B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538162A7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5B2777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A9CC433" w14:textId="77777777" w:rsidR="008E63DE" w:rsidRPr="006426F6" w:rsidRDefault="008E63DE" w:rsidP="00194F17">
            <w:pPr>
              <w:rPr>
                <w:rFonts w:cs="Arial"/>
              </w:rPr>
            </w:pPr>
          </w:p>
        </w:tc>
      </w:tr>
      <w:tr w:rsidR="008E63DE" w:rsidRPr="006426F6" w14:paraId="71EB9164" w14:textId="77777777" w:rsidTr="008E63DE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0C4C57D4" w14:textId="77777777" w:rsidR="008E63DE" w:rsidRPr="006426F6" w:rsidRDefault="008E63DE" w:rsidP="00DF356F">
            <w:pPr>
              <w:jc w:val="center"/>
              <w:rPr>
                <w:rFonts w:cs="Arial"/>
              </w:rPr>
            </w:pPr>
            <w:r w:rsidRPr="006426F6">
              <w:rPr>
                <w:rFonts w:cs="Arial"/>
              </w:rPr>
              <w:t>1</w:t>
            </w:r>
          </w:p>
        </w:tc>
        <w:tc>
          <w:tcPr>
            <w:tcW w:w="748" w:type="dxa"/>
          </w:tcPr>
          <w:p w14:paraId="67D222C6" w14:textId="77777777" w:rsidR="008E63DE" w:rsidRPr="006426F6" w:rsidRDefault="008E63DE" w:rsidP="00194F17">
            <w:pPr>
              <w:rPr>
                <w:rFonts w:cs="Arial"/>
              </w:rPr>
            </w:pPr>
          </w:p>
          <w:p w14:paraId="038D0011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348427F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62BF66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F9989D7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049D991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1C2C6F1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FAD750D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C70756C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1559A4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C0BB0B7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787350C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090ADBAA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099B51F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3C607C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F24585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05F1103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A1C6FE3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FFD4276" w14:textId="77777777" w:rsidR="008E63DE" w:rsidRPr="006426F6" w:rsidRDefault="008E63DE" w:rsidP="00194F17">
            <w:pPr>
              <w:rPr>
                <w:rFonts w:cs="Arial"/>
              </w:rPr>
            </w:pPr>
          </w:p>
        </w:tc>
      </w:tr>
      <w:tr w:rsidR="008E63DE" w:rsidRPr="006426F6" w14:paraId="0F590C4E" w14:textId="77777777" w:rsidTr="008E63DE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75359213" w14:textId="77777777" w:rsidR="008E63DE" w:rsidRPr="006426F6" w:rsidRDefault="008E63DE" w:rsidP="00DF356F">
            <w:pPr>
              <w:jc w:val="center"/>
              <w:rPr>
                <w:rFonts w:cs="Arial"/>
              </w:rPr>
            </w:pPr>
            <w:r w:rsidRPr="006426F6">
              <w:rPr>
                <w:rFonts w:cs="Arial"/>
              </w:rPr>
              <w:t>2</w:t>
            </w:r>
          </w:p>
        </w:tc>
        <w:tc>
          <w:tcPr>
            <w:tcW w:w="748" w:type="dxa"/>
          </w:tcPr>
          <w:p w14:paraId="2331E0B6" w14:textId="77777777" w:rsidR="008E63DE" w:rsidRPr="006426F6" w:rsidRDefault="008E63DE" w:rsidP="00194F17">
            <w:pPr>
              <w:rPr>
                <w:rFonts w:cs="Arial"/>
              </w:rPr>
            </w:pPr>
          </w:p>
          <w:p w14:paraId="4B8658B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C056F7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7912687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67FF937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688634F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956AD9B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0D4F0055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ACC7B7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1A89198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AE62B24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B11E364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684D341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4D3479D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86F5143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18D61AB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7E886E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E8D3FF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BDAAE2E" w14:textId="77777777" w:rsidR="008E63DE" w:rsidRPr="006426F6" w:rsidRDefault="008E63DE" w:rsidP="00194F17">
            <w:pPr>
              <w:rPr>
                <w:rFonts w:cs="Arial"/>
              </w:rPr>
            </w:pPr>
          </w:p>
        </w:tc>
      </w:tr>
      <w:tr w:rsidR="008E63DE" w:rsidRPr="006426F6" w14:paraId="44FDE866" w14:textId="77777777" w:rsidTr="008E63DE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6639CDE5" w14:textId="77777777" w:rsidR="008E63DE" w:rsidRPr="006426F6" w:rsidRDefault="008E63DE" w:rsidP="00DF356F">
            <w:pPr>
              <w:jc w:val="center"/>
              <w:rPr>
                <w:rFonts w:cs="Arial"/>
              </w:rPr>
            </w:pPr>
            <w:r w:rsidRPr="006426F6">
              <w:rPr>
                <w:rFonts w:cs="Arial"/>
              </w:rPr>
              <w:t>3</w:t>
            </w:r>
          </w:p>
        </w:tc>
        <w:tc>
          <w:tcPr>
            <w:tcW w:w="748" w:type="dxa"/>
          </w:tcPr>
          <w:p w14:paraId="529CC7EC" w14:textId="77777777" w:rsidR="008E63DE" w:rsidRPr="006426F6" w:rsidRDefault="008E63DE" w:rsidP="00194F17">
            <w:pPr>
              <w:rPr>
                <w:rFonts w:cs="Arial"/>
              </w:rPr>
            </w:pPr>
          </w:p>
          <w:p w14:paraId="63AE7AA1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7A360C9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1C4C0E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4286AFA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D9CE098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661170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5BCA83B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18EA69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89AC44D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469B40F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62D877A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5BB33FF7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6A9CF1C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3B7B199F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C92C84B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61AD5CA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E8879A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4AEE7C3" w14:textId="77777777" w:rsidR="008E63DE" w:rsidRPr="006426F6" w:rsidRDefault="008E63DE" w:rsidP="00194F17">
            <w:pPr>
              <w:rPr>
                <w:rFonts w:cs="Arial"/>
              </w:rPr>
            </w:pPr>
          </w:p>
        </w:tc>
      </w:tr>
      <w:tr w:rsidR="008E63DE" w:rsidRPr="006426F6" w14:paraId="67A55FDA" w14:textId="77777777" w:rsidTr="008E63DE">
        <w:tc>
          <w:tcPr>
            <w:tcW w:w="547" w:type="dxa"/>
            <w:shd w:val="clear" w:color="auto" w:fill="D9D9D9" w:themeFill="background1" w:themeFillShade="D9"/>
            <w:vAlign w:val="center"/>
          </w:tcPr>
          <w:p w14:paraId="5BC9729C" w14:textId="77777777" w:rsidR="008E63DE" w:rsidRPr="006426F6" w:rsidRDefault="008E63DE" w:rsidP="00DF356F">
            <w:pPr>
              <w:jc w:val="center"/>
              <w:rPr>
                <w:rFonts w:cs="Arial"/>
              </w:rPr>
            </w:pPr>
            <w:r w:rsidRPr="006426F6">
              <w:rPr>
                <w:rFonts w:cs="Arial"/>
              </w:rPr>
              <w:t>4</w:t>
            </w:r>
          </w:p>
        </w:tc>
        <w:tc>
          <w:tcPr>
            <w:tcW w:w="748" w:type="dxa"/>
          </w:tcPr>
          <w:p w14:paraId="5A3EB78B" w14:textId="77777777" w:rsidR="008E63DE" w:rsidRPr="006426F6" w:rsidRDefault="008E63DE" w:rsidP="00194F17">
            <w:pPr>
              <w:rPr>
                <w:rFonts w:cs="Arial"/>
              </w:rPr>
            </w:pPr>
          </w:p>
          <w:p w14:paraId="3314266A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7127EF6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0B9D5DAA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F1F026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3AAD884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5C413045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BE5AB9F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4F5C376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3585166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0E376D21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F6251D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9EBAB67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611B9510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7A327062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7C0E5D2E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4E199809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46EA6185" w14:textId="77777777" w:rsidR="008E63DE" w:rsidRPr="006426F6" w:rsidRDefault="008E63DE" w:rsidP="00194F17">
            <w:pPr>
              <w:rPr>
                <w:rFonts w:cs="Arial"/>
              </w:rPr>
            </w:pPr>
          </w:p>
        </w:tc>
        <w:tc>
          <w:tcPr>
            <w:tcW w:w="749" w:type="dxa"/>
          </w:tcPr>
          <w:p w14:paraId="28ABF366" w14:textId="77777777" w:rsidR="008E63DE" w:rsidRPr="006426F6" w:rsidRDefault="008E63DE" w:rsidP="00194F17">
            <w:pPr>
              <w:rPr>
                <w:rFonts w:cs="Arial"/>
              </w:rPr>
            </w:pPr>
          </w:p>
        </w:tc>
      </w:tr>
    </w:tbl>
    <w:p w14:paraId="4E5B1931" w14:textId="77777777" w:rsidR="00194F17" w:rsidRDefault="00194F17" w:rsidP="00194F17"/>
    <w:p w14:paraId="17E25554" w14:textId="77777777" w:rsidR="003F0562" w:rsidRDefault="00B13E8F" w:rsidP="00B13E8F">
      <w:pPr>
        <w:pStyle w:val="Heading1"/>
      </w:pPr>
      <w:r>
        <w:lastRenderedPageBreak/>
        <w:t>Section 3 –</w:t>
      </w:r>
      <w:r w:rsidR="0013001C">
        <w:t xml:space="preserve"> Learning </w:t>
      </w:r>
      <w:r>
        <w:t>Plan</w:t>
      </w:r>
    </w:p>
    <w:p w14:paraId="60F039E7" w14:textId="77777777" w:rsidR="0013001C" w:rsidRDefault="0013001C" w:rsidP="0013001C"/>
    <w:p w14:paraId="7AEA2A35" w14:textId="77777777" w:rsidR="0013001C" w:rsidRPr="006426F6" w:rsidRDefault="0013001C" w:rsidP="0013001C">
      <w:r w:rsidRPr="006426F6">
        <w:t>The next step is to identify a learning plan to address priority competency gaps. The table on the following page is intended to summarize the responses to the following questions:</w:t>
      </w:r>
    </w:p>
    <w:p w14:paraId="0462248D" w14:textId="77777777" w:rsidR="00B13E8F" w:rsidRPr="006426F6" w:rsidRDefault="0013001C" w:rsidP="0013001C">
      <w:pPr>
        <w:pStyle w:val="ListParagraph"/>
        <w:numPr>
          <w:ilvl w:val="0"/>
          <w:numId w:val="5"/>
        </w:numPr>
      </w:pPr>
      <w:r w:rsidRPr="006426F6">
        <w:t>Reflecting the findings from Section 2, identify developmental goals (e.g., for the coming year)</w:t>
      </w:r>
      <w:r w:rsidR="00B14ED0" w:rsidRPr="006426F6">
        <w:t>. This might focus on a specific competency statement, one that is domain-wide, or a task that requires integration across domains.</w:t>
      </w:r>
    </w:p>
    <w:p w14:paraId="4420DAE9" w14:textId="77777777" w:rsidR="0013001C" w:rsidRPr="006426F6" w:rsidRDefault="0013001C" w:rsidP="0013001C">
      <w:pPr>
        <w:pStyle w:val="ListParagraph"/>
        <w:numPr>
          <w:ilvl w:val="0"/>
          <w:numId w:val="5"/>
        </w:numPr>
      </w:pPr>
      <w:r w:rsidRPr="006426F6">
        <w:t>Consider how these goals relate to the organization’s goals? (</w:t>
      </w:r>
      <w:proofErr w:type="gramStart"/>
      <w:r w:rsidRPr="006426F6">
        <w:t>e</w:t>
      </w:r>
      <w:proofErr w:type="gramEnd"/>
      <w:r w:rsidRPr="006426F6">
        <w:t>.g., how will the organization benefit from your development goal?)</w:t>
      </w:r>
    </w:p>
    <w:p w14:paraId="3B7B047F" w14:textId="77777777" w:rsidR="0013001C" w:rsidRPr="006426F6" w:rsidRDefault="0013001C" w:rsidP="0013001C">
      <w:pPr>
        <w:pStyle w:val="ListParagraph"/>
        <w:numPr>
          <w:ilvl w:val="0"/>
          <w:numId w:val="5"/>
        </w:numPr>
      </w:pPr>
      <w:r w:rsidRPr="006426F6">
        <w:t>What are the knowledge, skills and abilities to be developed?</w:t>
      </w:r>
    </w:p>
    <w:p w14:paraId="79684C88" w14:textId="77777777" w:rsidR="0013001C" w:rsidRPr="006426F6" w:rsidRDefault="0013001C" w:rsidP="0013001C">
      <w:pPr>
        <w:pStyle w:val="ListParagraph"/>
        <w:numPr>
          <w:ilvl w:val="0"/>
          <w:numId w:val="5"/>
        </w:numPr>
      </w:pPr>
      <w:r w:rsidRPr="006426F6">
        <w:t>What are the best development activities for the goals that you have identified? (</w:t>
      </w:r>
      <w:proofErr w:type="gramStart"/>
      <w:r w:rsidRPr="006426F6">
        <w:t>see</w:t>
      </w:r>
      <w:proofErr w:type="gramEnd"/>
      <w:r w:rsidRPr="006426F6">
        <w:t xml:space="preserve"> </w:t>
      </w:r>
      <w:r w:rsidR="006426F6" w:rsidRPr="000C459E">
        <w:rPr>
          <w:b/>
          <w:i/>
        </w:rPr>
        <w:t>Strategies to Develop Competencies</w:t>
      </w:r>
      <w:r w:rsidRPr="006426F6">
        <w:t xml:space="preserve"> for ideas)</w:t>
      </w:r>
    </w:p>
    <w:p w14:paraId="314CF9CA" w14:textId="77777777" w:rsidR="0013001C" w:rsidRPr="006426F6" w:rsidRDefault="0013001C" w:rsidP="0013001C">
      <w:pPr>
        <w:pStyle w:val="ListParagraph"/>
        <w:numPr>
          <w:ilvl w:val="0"/>
          <w:numId w:val="5"/>
        </w:numPr>
      </w:pPr>
      <w:r w:rsidRPr="006426F6">
        <w:t>What resources/supports will you need to engage in the development activities (e.g., time, funds, help from others, opportunity, etc.</w:t>
      </w:r>
      <w:proofErr w:type="gramStart"/>
      <w:r w:rsidRPr="006426F6">
        <w:t>)</w:t>
      </w:r>
      <w:proofErr w:type="gramEnd"/>
    </w:p>
    <w:p w14:paraId="711781F0" w14:textId="77777777" w:rsidR="0013001C" w:rsidRDefault="0013001C" w:rsidP="0013001C">
      <w:pPr>
        <w:pStyle w:val="ListParagraph"/>
        <w:numPr>
          <w:ilvl w:val="0"/>
          <w:numId w:val="5"/>
        </w:numPr>
      </w:pPr>
      <w:r w:rsidRPr="006426F6">
        <w:t>What are the timelines for completing</w:t>
      </w:r>
      <w:r>
        <w:t xml:space="preserve"> each development goal?</w:t>
      </w:r>
    </w:p>
    <w:p w14:paraId="2DE0BFF0" w14:textId="77777777" w:rsidR="0013001C" w:rsidRDefault="0013001C" w:rsidP="0013001C"/>
    <w:p w14:paraId="22301575" w14:textId="77777777" w:rsidR="0013001C" w:rsidRDefault="0013001C" w:rsidP="0013001C">
      <w:r>
        <w:t>Ideally, the learning plan is discussed with</w:t>
      </w:r>
      <w:r w:rsidR="00657034">
        <w:t>,</w:t>
      </w:r>
      <w:r>
        <w:t xml:space="preserve"> and agreed to</w:t>
      </w:r>
      <w:r w:rsidR="00657034">
        <w:t>,</w:t>
      </w:r>
      <w:r>
        <w:t xml:space="preserve"> by your supervisor.</w:t>
      </w:r>
    </w:p>
    <w:p w14:paraId="29B3F6FB" w14:textId="77777777" w:rsidR="0013001C" w:rsidRDefault="0013001C" w:rsidP="0013001C">
      <w:pPr>
        <w:sectPr w:rsidR="0013001C" w:rsidSect="005F36D3">
          <w:headerReference w:type="default" r:id="rId12"/>
          <w:footerReference w:type="default" r:id="rId13"/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7816CDFA" w14:textId="77777777" w:rsidR="0013001C" w:rsidRPr="0013001C" w:rsidRDefault="0013001C" w:rsidP="00A250A4">
      <w:pPr>
        <w:pStyle w:val="Heading1"/>
        <w:rPr>
          <w:snapToGrid w:val="0"/>
        </w:rPr>
      </w:pPr>
      <w:r w:rsidRPr="0013001C">
        <w:rPr>
          <w:snapToGrid w:val="0"/>
        </w:rPr>
        <w:lastRenderedPageBreak/>
        <w:t xml:space="preserve">Individual </w:t>
      </w:r>
      <w:r>
        <w:rPr>
          <w:snapToGrid w:val="0"/>
        </w:rPr>
        <w:t xml:space="preserve">Learning </w:t>
      </w:r>
      <w:r w:rsidRPr="0013001C">
        <w:rPr>
          <w:snapToGrid w:val="0"/>
        </w:rPr>
        <w:t xml:space="preserve">Plan </w:t>
      </w:r>
    </w:p>
    <w:tbl>
      <w:tblPr>
        <w:tblpPr w:leftFromText="180" w:rightFromText="180" w:vertAnchor="text" w:tblpX="10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6192"/>
      </w:tblGrid>
      <w:tr w:rsidR="0013001C" w:rsidRPr="006426F6" w14:paraId="2AF8A1A9" w14:textId="77777777" w:rsidTr="00556075">
        <w:trPr>
          <w:trHeight w:val="344"/>
        </w:trPr>
        <w:tc>
          <w:tcPr>
            <w:tcW w:w="1548" w:type="dxa"/>
            <w:vAlign w:val="center"/>
          </w:tcPr>
          <w:p w14:paraId="1DE8E503" w14:textId="77777777" w:rsidR="0013001C" w:rsidRPr="006426F6" w:rsidRDefault="0013001C" w:rsidP="00556075">
            <w:pPr>
              <w:rPr>
                <w:rFonts w:cs="Times New Roman"/>
                <w:snapToGrid w:val="0"/>
                <w:color w:val="000000"/>
                <w:sz w:val="20"/>
                <w:szCs w:val="20"/>
              </w:rPr>
            </w:pPr>
            <w:r w:rsidRPr="006426F6"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6192" w:type="dxa"/>
            <w:vAlign w:val="center"/>
          </w:tcPr>
          <w:p w14:paraId="0AA65ADE" w14:textId="77777777" w:rsidR="0013001C" w:rsidRPr="006426F6" w:rsidRDefault="0013001C" w:rsidP="00556075">
            <w:pPr>
              <w:rPr>
                <w:rFonts w:ascii="Georgia" w:hAnsi="Georgia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F5E8DEA" w14:textId="77777777" w:rsidR="0013001C" w:rsidRPr="006426F6" w:rsidRDefault="0013001C" w:rsidP="0013001C">
      <w:pPr>
        <w:rPr>
          <w:rFonts w:ascii="Georgia" w:hAnsi="Georgia" w:cs="Arial"/>
          <w:snapToGrid w:val="0"/>
          <w:color w:val="000000"/>
          <w:sz w:val="20"/>
          <w:szCs w:val="20"/>
        </w:rPr>
      </w:pPr>
    </w:p>
    <w:p w14:paraId="0977025C" w14:textId="77777777" w:rsidR="0013001C" w:rsidRPr="006426F6" w:rsidRDefault="0013001C" w:rsidP="00A250A4">
      <w:pPr>
        <w:pStyle w:val="NoSpacing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13001C" w:rsidRPr="006426F6" w14:paraId="01EA0474" w14:textId="77777777" w:rsidTr="00A250A4">
        <w:trPr>
          <w:trHeight w:val="856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35A22750" w14:textId="77777777" w:rsidR="0013001C" w:rsidRPr="006426F6" w:rsidRDefault="0013001C" w:rsidP="001300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426F6">
              <w:rPr>
                <w:b/>
                <w:snapToGrid w:val="0"/>
                <w:sz w:val="20"/>
                <w:szCs w:val="20"/>
              </w:rPr>
              <w:t>Developmental goals for the coming year</w:t>
            </w:r>
          </w:p>
        </w:tc>
        <w:tc>
          <w:tcPr>
            <w:tcW w:w="2196" w:type="dxa"/>
            <w:shd w:val="pct12" w:color="000000" w:fill="FFFFFF"/>
          </w:tcPr>
          <w:p w14:paraId="28CB0221" w14:textId="77777777" w:rsidR="0013001C" w:rsidRPr="006426F6" w:rsidRDefault="0013001C" w:rsidP="001300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426F6">
              <w:rPr>
                <w:b/>
                <w:snapToGrid w:val="0"/>
                <w:sz w:val="20"/>
                <w:szCs w:val="20"/>
              </w:rPr>
              <w:t>Relationship of goal to the organization’s goals</w:t>
            </w:r>
          </w:p>
        </w:tc>
        <w:tc>
          <w:tcPr>
            <w:tcW w:w="2196" w:type="dxa"/>
            <w:shd w:val="pct12" w:color="000000" w:fill="FFFFFF"/>
          </w:tcPr>
          <w:p w14:paraId="0F1D6C35" w14:textId="77777777" w:rsidR="0013001C" w:rsidRPr="006426F6" w:rsidRDefault="0013001C" w:rsidP="001300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426F6">
              <w:rPr>
                <w:b/>
                <w:snapToGrid w:val="0"/>
                <w:sz w:val="20"/>
                <w:szCs w:val="20"/>
              </w:rPr>
              <w:t>Knowledge, skills, abilities to be developed</w:t>
            </w:r>
          </w:p>
        </w:tc>
        <w:tc>
          <w:tcPr>
            <w:tcW w:w="2196" w:type="dxa"/>
            <w:shd w:val="pct12" w:color="000000" w:fill="FFFFFF"/>
          </w:tcPr>
          <w:p w14:paraId="76CCD3EA" w14:textId="77777777" w:rsidR="0013001C" w:rsidRPr="006426F6" w:rsidRDefault="0013001C" w:rsidP="001300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426F6">
              <w:rPr>
                <w:b/>
                <w:snapToGrid w:val="0"/>
                <w:sz w:val="20"/>
                <w:szCs w:val="20"/>
              </w:rPr>
              <w:t>Developmental activity</w:t>
            </w:r>
          </w:p>
        </w:tc>
        <w:tc>
          <w:tcPr>
            <w:tcW w:w="2196" w:type="dxa"/>
            <w:shd w:val="pct12" w:color="000000" w:fill="FFFFFF"/>
          </w:tcPr>
          <w:p w14:paraId="2AEAADB9" w14:textId="77777777" w:rsidR="0013001C" w:rsidRPr="006426F6" w:rsidRDefault="0013001C" w:rsidP="001300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426F6">
              <w:rPr>
                <w:b/>
                <w:snapToGrid w:val="0"/>
                <w:sz w:val="20"/>
                <w:szCs w:val="20"/>
              </w:rPr>
              <w:t>Resources</w:t>
            </w:r>
          </w:p>
        </w:tc>
        <w:tc>
          <w:tcPr>
            <w:tcW w:w="2196" w:type="dxa"/>
            <w:shd w:val="pct12" w:color="000000" w:fill="FFFFFF"/>
          </w:tcPr>
          <w:p w14:paraId="08175379" w14:textId="77777777" w:rsidR="0013001C" w:rsidRPr="006426F6" w:rsidRDefault="0013001C" w:rsidP="0013001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426F6">
              <w:rPr>
                <w:b/>
                <w:snapToGrid w:val="0"/>
                <w:sz w:val="20"/>
                <w:szCs w:val="20"/>
              </w:rPr>
              <w:t>Date for completion</w:t>
            </w:r>
          </w:p>
        </w:tc>
      </w:tr>
      <w:tr w:rsidR="0013001C" w:rsidRPr="006426F6" w14:paraId="4069EAB9" w14:textId="77777777" w:rsidTr="00556075">
        <w:trPr>
          <w:cantSplit/>
          <w:trHeight w:val="165"/>
        </w:trPr>
        <w:tc>
          <w:tcPr>
            <w:tcW w:w="2196" w:type="dxa"/>
            <w:tcBorders>
              <w:bottom w:val="nil"/>
            </w:tcBorders>
          </w:tcPr>
          <w:p w14:paraId="09B99229" w14:textId="77777777" w:rsidR="0013001C" w:rsidRPr="006426F6" w:rsidRDefault="0013001C" w:rsidP="0013001C">
            <w:pPr>
              <w:rPr>
                <w:b/>
                <w:i/>
                <w:snapToGrid w:val="0"/>
                <w:sz w:val="20"/>
                <w:szCs w:val="20"/>
              </w:rPr>
            </w:pPr>
            <w:r w:rsidRPr="006426F6">
              <w:rPr>
                <w:b/>
                <w:i/>
                <w:snapToGrid w:val="0"/>
                <w:sz w:val="20"/>
                <w:szCs w:val="20"/>
              </w:rPr>
              <w:t>Goal 1</w:t>
            </w:r>
          </w:p>
        </w:tc>
        <w:tc>
          <w:tcPr>
            <w:tcW w:w="2196" w:type="dxa"/>
            <w:vMerge w:val="restart"/>
          </w:tcPr>
          <w:p w14:paraId="2F28F555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51587E75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4AF82F20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2E34ADE7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36003123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</w:tr>
      <w:tr w:rsidR="0013001C" w:rsidRPr="006426F6" w14:paraId="10B06FC0" w14:textId="77777777" w:rsidTr="00556075">
        <w:trPr>
          <w:cantSplit/>
          <w:trHeight w:val="975"/>
        </w:trPr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3A5EA156" w14:textId="77777777" w:rsidR="0013001C" w:rsidRPr="006426F6" w:rsidRDefault="0013001C" w:rsidP="0013001C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5B6029D2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1331455E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643EE616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5C0DCA02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180B9DC6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</w:tr>
      <w:tr w:rsidR="0013001C" w:rsidRPr="006426F6" w14:paraId="40A1087A" w14:textId="77777777" w:rsidTr="00556075">
        <w:trPr>
          <w:cantSplit/>
          <w:trHeight w:val="210"/>
        </w:trPr>
        <w:tc>
          <w:tcPr>
            <w:tcW w:w="2196" w:type="dxa"/>
            <w:tcBorders>
              <w:bottom w:val="nil"/>
            </w:tcBorders>
          </w:tcPr>
          <w:p w14:paraId="5BBBE2C7" w14:textId="77777777" w:rsidR="0013001C" w:rsidRPr="006426F6" w:rsidRDefault="0013001C" w:rsidP="0013001C">
            <w:pPr>
              <w:rPr>
                <w:b/>
                <w:i/>
                <w:snapToGrid w:val="0"/>
                <w:sz w:val="20"/>
                <w:szCs w:val="20"/>
              </w:rPr>
            </w:pPr>
            <w:r w:rsidRPr="006426F6">
              <w:rPr>
                <w:b/>
                <w:i/>
                <w:snapToGrid w:val="0"/>
                <w:sz w:val="20"/>
                <w:szCs w:val="20"/>
              </w:rPr>
              <w:t xml:space="preserve">Goal </w:t>
            </w:r>
            <w:proofErr w:type="gramStart"/>
            <w:r w:rsidRPr="006426F6">
              <w:rPr>
                <w:b/>
                <w:i/>
                <w:snapToGrid w:val="0"/>
                <w:sz w:val="20"/>
                <w:szCs w:val="20"/>
              </w:rPr>
              <w:t xml:space="preserve">2  </w:t>
            </w:r>
            <w:proofErr w:type="gramEnd"/>
          </w:p>
        </w:tc>
        <w:tc>
          <w:tcPr>
            <w:tcW w:w="2196" w:type="dxa"/>
            <w:vMerge w:val="restart"/>
          </w:tcPr>
          <w:p w14:paraId="51F7D7D0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2C1F3981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44EDD5C4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732E9A1D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5DDB498A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</w:tr>
      <w:tr w:rsidR="0013001C" w:rsidRPr="006426F6" w14:paraId="2A0DDD30" w14:textId="77777777" w:rsidTr="00556075">
        <w:trPr>
          <w:cantSplit/>
          <w:trHeight w:val="1108"/>
        </w:trPr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7CCF05E3" w14:textId="77777777" w:rsidR="0013001C" w:rsidRPr="006426F6" w:rsidRDefault="0013001C" w:rsidP="0013001C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2D21BFF0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02CD3860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15F87AB8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78888F07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29E3FA81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</w:tr>
      <w:tr w:rsidR="0013001C" w:rsidRPr="006426F6" w14:paraId="5C5AEA49" w14:textId="77777777" w:rsidTr="00556075">
        <w:trPr>
          <w:cantSplit/>
          <w:trHeight w:val="270"/>
        </w:trPr>
        <w:tc>
          <w:tcPr>
            <w:tcW w:w="2196" w:type="dxa"/>
            <w:tcBorders>
              <w:bottom w:val="nil"/>
            </w:tcBorders>
          </w:tcPr>
          <w:p w14:paraId="70EB485C" w14:textId="77777777" w:rsidR="0013001C" w:rsidRPr="006426F6" w:rsidRDefault="0013001C" w:rsidP="0013001C">
            <w:pPr>
              <w:rPr>
                <w:b/>
                <w:i/>
                <w:snapToGrid w:val="0"/>
                <w:sz w:val="20"/>
                <w:szCs w:val="20"/>
              </w:rPr>
            </w:pPr>
            <w:r w:rsidRPr="006426F6">
              <w:rPr>
                <w:b/>
                <w:i/>
                <w:snapToGrid w:val="0"/>
                <w:sz w:val="20"/>
                <w:szCs w:val="20"/>
              </w:rPr>
              <w:t>Goal 3</w:t>
            </w:r>
          </w:p>
        </w:tc>
        <w:tc>
          <w:tcPr>
            <w:tcW w:w="2196" w:type="dxa"/>
            <w:vMerge w:val="restart"/>
          </w:tcPr>
          <w:p w14:paraId="0D43EE08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020F5F15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22BF689F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241D53E3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</w:tcPr>
          <w:p w14:paraId="1427F7D2" w14:textId="77777777" w:rsidR="0013001C" w:rsidRPr="006426F6" w:rsidRDefault="0013001C" w:rsidP="0013001C">
            <w:pPr>
              <w:rPr>
                <w:snapToGrid w:val="0"/>
                <w:sz w:val="20"/>
                <w:szCs w:val="20"/>
              </w:rPr>
            </w:pPr>
          </w:p>
        </w:tc>
      </w:tr>
      <w:tr w:rsidR="0013001C" w:rsidRPr="006426F6" w14:paraId="087F36BF" w14:textId="77777777" w:rsidTr="00556075">
        <w:trPr>
          <w:cantSplit/>
          <w:trHeight w:val="885"/>
        </w:trPr>
        <w:tc>
          <w:tcPr>
            <w:tcW w:w="2196" w:type="dxa"/>
            <w:tcBorders>
              <w:top w:val="nil"/>
            </w:tcBorders>
          </w:tcPr>
          <w:p w14:paraId="26DAD8CC" w14:textId="77777777" w:rsidR="0013001C" w:rsidRPr="006426F6" w:rsidRDefault="0013001C" w:rsidP="00556075">
            <w:pPr>
              <w:rPr>
                <w:rFonts w:ascii="Georgia" w:hAnsi="Georgia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34BBE1A0" w14:textId="77777777" w:rsidR="0013001C" w:rsidRPr="006426F6" w:rsidRDefault="0013001C" w:rsidP="00556075">
            <w:pPr>
              <w:rPr>
                <w:rFonts w:ascii="Georgia" w:hAnsi="Georgia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26CB96F6" w14:textId="77777777" w:rsidR="0013001C" w:rsidRPr="006426F6" w:rsidRDefault="0013001C" w:rsidP="00556075">
            <w:pPr>
              <w:rPr>
                <w:rFonts w:ascii="Georgia" w:hAnsi="Georgia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6B6B1B0E" w14:textId="77777777" w:rsidR="0013001C" w:rsidRPr="006426F6" w:rsidRDefault="0013001C" w:rsidP="00556075">
            <w:pPr>
              <w:rPr>
                <w:rFonts w:ascii="Georgia" w:hAnsi="Georgia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06F9D110" w14:textId="77777777" w:rsidR="0013001C" w:rsidRPr="006426F6" w:rsidRDefault="0013001C" w:rsidP="00556075">
            <w:pPr>
              <w:rPr>
                <w:rFonts w:ascii="Georgia" w:hAnsi="Georgia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38D618B9" w14:textId="77777777" w:rsidR="0013001C" w:rsidRPr="006426F6" w:rsidRDefault="0013001C" w:rsidP="00556075">
            <w:pPr>
              <w:rPr>
                <w:rFonts w:ascii="Georgia" w:hAnsi="Georgia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363E015" w14:textId="77777777" w:rsidR="00A250A4" w:rsidRPr="00A250A4" w:rsidRDefault="00A250A4" w:rsidP="00A250A4">
      <w:pPr>
        <w:pStyle w:val="NoSpacing"/>
        <w:rPr>
          <w:snapToGrid w:val="0"/>
          <w:sz w:val="20"/>
        </w:rPr>
      </w:pPr>
    </w:p>
    <w:p w14:paraId="79983CEC" w14:textId="77777777" w:rsidR="00A250A4" w:rsidRDefault="00A250A4" w:rsidP="00A250A4">
      <w:pPr>
        <w:pStyle w:val="NoSpacing"/>
        <w:rPr>
          <w:snapToGrid w:val="0"/>
        </w:rPr>
      </w:pPr>
    </w:p>
    <w:p w14:paraId="60662BE2" w14:textId="77777777" w:rsidR="00A250A4" w:rsidRPr="00A250A4" w:rsidRDefault="0013001C" w:rsidP="00A250A4">
      <w:pPr>
        <w:pStyle w:val="NoSpacing"/>
        <w:rPr>
          <w:snapToGrid w:val="0"/>
        </w:rPr>
      </w:pPr>
      <w:r w:rsidRPr="00A250A4">
        <w:rPr>
          <w:snapToGrid w:val="0"/>
        </w:rPr>
        <w:t>__</w:t>
      </w:r>
      <w:r w:rsidR="00A250A4">
        <w:rPr>
          <w:snapToGrid w:val="0"/>
        </w:rPr>
        <w:t>_____________________</w:t>
      </w:r>
      <w:r w:rsidR="00A250A4">
        <w:rPr>
          <w:snapToGrid w:val="0"/>
        </w:rPr>
        <w:tab/>
        <w:t>______________</w:t>
      </w:r>
      <w:r w:rsidR="00A250A4">
        <w:rPr>
          <w:snapToGrid w:val="0"/>
        </w:rPr>
        <w:tab/>
      </w:r>
      <w:r w:rsidR="00A250A4">
        <w:rPr>
          <w:snapToGrid w:val="0"/>
        </w:rPr>
        <w:tab/>
      </w:r>
      <w:r w:rsidR="00A250A4">
        <w:rPr>
          <w:snapToGrid w:val="0"/>
        </w:rPr>
        <w:tab/>
      </w:r>
      <w:r w:rsidR="00A250A4" w:rsidRPr="00A250A4">
        <w:rPr>
          <w:snapToGrid w:val="0"/>
        </w:rPr>
        <w:t>__</w:t>
      </w:r>
      <w:r w:rsidR="00A250A4">
        <w:rPr>
          <w:snapToGrid w:val="0"/>
        </w:rPr>
        <w:t>_____________________</w:t>
      </w:r>
      <w:r w:rsidR="00A250A4">
        <w:rPr>
          <w:snapToGrid w:val="0"/>
        </w:rPr>
        <w:tab/>
        <w:t>______________</w:t>
      </w:r>
      <w:r w:rsidR="00A250A4">
        <w:rPr>
          <w:snapToGrid w:val="0"/>
        </w:rPr>
        <w:tab/>
      </w:r>
      <w:r w:rsidR="00A250A4">
        <w:rPr>
          <w:snapToGrid w:val="0"/>
        </w:rPr>
        <w:tab/>
      </w:r>
      <w:r w:rsidR="00A250A4">
        <w:rPr>
          <w:snapToGrid w:val="0"/>
        </w:rPr>
        <w:tab/>
      </w:r>
    </w:p>
    <w:p w14:paraId="4AAE6A92" w14:textId="77777777" w:rsidR="00A250A4" w:rsidRPr="00A250A4" w:rsidRDefault="00A250A4" w:rsidP="00A250A4">
      <w:pPr>
        <w:pStyle w:val="NoSpacing"/>
        <w:rPr>
          <w:rFonts w:cs="Arial"/>
          <w:snapToGrid w:val="0"/>
          <w:sz w:val="20"/>
        </w:rPr>
      </w:pPr>
      <w:r w:rsidRPr="00A250A4">
        <w:rPr>
          <w:rFonts w:cs="Arial"/>
          <w:snapToGrid w:val="0"/>
          <w:sz w:val="20"/>
        </w:rPr>
        <w:t>Employee’s signature</w:t>
      </w:r>
      <w:r w:rsidRPr="00A250A4">
        <w:rPr>
          <w:rFonts w:cs="Arial"/>
          <w:snapToGrid w:val="0"/>
          <w:sz w:val="20"/>
        </w:rPr>
        <w:tab/>
      </w:r>
      <w:r w:rsidRPr="00A250A4">
        <w:rPr>
          <w:rFonts w:cs="Arial"/>
          <w:snapToGrid w:val="0"/>
          <w:sz w:val="20"/>
        </w:rPr>
        <w:tab/>
        <w:t>Date</w:t>
      </w:r>
      <w:r>
        <w:rPr>
          <w:rFonts w:cs="Arial"/>
          <w:snapToGrid w:val="0"/>
          <w:sz w:val="20"/>
        </w:rPr>
        <w:tab/>
      </w:r>
      <w:r>
        <w:rPr>
          <w:rFonts w:cs="Arial"/>
          <w:snapToGrid w:val="0"/>
          <w:sz w:val="20"/>
        </w:rPr>
        <w:tab/>
      </w:r>
      <w:r>
        <w:rPr>
          <w:rFonts w:cs="Arial"/>
          <w:snapToGrid w:val="0"/>
          <w:sz w:val="20"/>
        </w:rPr>
        <w:tab/>
      </w:r>
      <w:r>
        <w:rPr>
          <w:rFonts w:cs="Arial"/>
          <w:snapToGrid w:val="0"/>
          <w:sz w:val="20"/>
        </w:rPr>
        <w:tab/>
      </w:r>
      <w:r>
        <w:rPr>
          <w:rFonts w:cs="Arial"/>
          <w:snapToGrid w:val="0"/>
          <w:sz w:val="20"/>
        </w:rPr>
        <w:tab/>
        <w:t xml:space="preserve">Supervisor's </w:t>
      </w:r>
      <w:r w:rsidRPr="00A250A4">
        <w:rPr>
          <w:rFonts w:cs="Arial"/>
          <w:snapToGrid w:val="0"/>
          <w:sz w:val="20"/>
        </w:rPr>
        <w:t>signature</w:t>
      </w:r>
      <w:r w:rsidRPr="00A250A4">
        <w:rPr>
          <w:rFonts w:cs="Arial"/>
          <w:snapToGrid w:val="0"/>
          <w:sz w:val="20"/>
        </w:rPr>
        <w:tab/>
      </w:r>
      <w:r w:rsidRPr="00A250A4">
        <w:rPr>
          <w:rFonts w:cs="Arial"/>
          <w:snapToGrid w:val="0"/>
          <w:sz w:val="20"/>
        </w:rPr>
        <w:tab/>
        <w:t>Date</w:t>
      </w:r>
    </w:p>
    <w:p w14:paraId="203B4B57" w14:textId="77777777" w:rsidR="00A250A4" w:rsidRPr="00A250A4" w:rsidRDefault="00A250A4" w:rsidP="00A250A4">
      <w:pPr>
        <w:pStyle w:val="NoSpacing"/>
        <w:rPr>
          <w:rFonts w:cs="Arial"/>
          <w:snapToGrid w:val="0"/>
          <w:sz w:val="20"/>
        </w:rPr>
      </w:pPr>
    </w:p>
    <w:sectPr w:rsidR="00A250A4" w:rsidRPr="00A250A4" w:rsidSect="0013001C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EFE40" w14:textId="77777777" w:rsidR="003C7883" w:rsidRDefault="003C7883" w:rsidP="00FE4040">
      <w:pPr>
        <w:spacing w:after="0" w:line="240" w:lineRule="auto"/>
      </w:pPr>
      <w:r>
        <w:separator/>
      </w:r>
    </w:p>
  </w:endnote>
  <w:endnote w:type="continuationSeparator" w:id="0">
    <w:p w14:paraId="56E6F905" w14:textId="77777777" w:rsidR="003C7883" w:rsidRDefault="003C7883" w:rsidP="00FE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Times New Roman"/>
        <w:szCs w:val="24"/>
      </w:rPr>
      <w:id w:val="420879425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60506445"/>
          <w:docPartObj>
            <w:docPartGallery w:val="Page Numbers (Bottom of Page)"/>
            <w:docPartUnique/>
          </w:docPartObj>
        </w:sdtPr>
        <w:sdtEndPr/>
        <w:sdtContent>
          <w:p w14:paraId="67D50434" w14:textId="77777777" w:rsidR="006426F6" w:rsidRPr="00E83055" w:rsidRDefault="006426F6" w:rsidP="006426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Page </w:t>
            </w:r>
            <w:r w:rsidR="00702448" w:rsidRPr="008E56F9">
              <w:rPr>
                <w:rFonts w:cs="Arial"/>
                <w:sz w:val="16"/>
                <w:szCs w:val="16"/>
              </w:rPr>
              <w:fldChar w:fldCharType="begin"/>
            </w:r>
            <w:r w:rsidRPr="008E56F9">
              <w:rPr>
                <w:rFonts w:cs="Arial"/>
                <w:sz w:val="16"/>
                <w:szCs w:val="16"/>
              </w:rPr>
              <w:instrText xml:space="preserve"> PAGE   \* MERGEFORMAT </w:instrText>
            </w:r>
            <w:r w:rsidR="00702448" w:rsidRPr="008E56F9">
              <w:rPr>
                <w:rFonts w:cs="Arial"/>
                <w:sz w:val="16"/>
                <w:szCs w:val="16"/>
              </w:rPr>
              <w:fldChar w:fldCharType="separate"/>
            </w:r>
            <w:r w:rsidR="00480FE6">
              <w:rPr>
                <w:rFonts w:cs="Arial"/>
                <w:noProof/>
                <w:sz w:val="16"/>
                <w:szCs w:val="16"/>
              </w:rPr>
              <w:t>2</w:t>
            </w:r>
            <w:r w:rsidR="00702448" w:rsidRPr="008E56F9">
              <w:rPr>
                <w:rFonts w:cs="Arial"/>
                <w:noProof/>
                <w:sz w:val="16"/>
                <w:szCs w:val="16"/>
              </w:rPr>
              <w:fldChar w:fldCharType="end"/>
            </w:r>
            <w:r>
              <w:rPr>
                <w:rFonts w:cs="Arial"/>
                <w:noProof/>
                <w:sz w:val="16"/>
                <w:szCs w:val="16"/>
              </w:rPr>
              <w:tab/>
            </w:r>
            <w:r w:rsidRPr="008E56F9">
              <w:rPr>
                <w:rFonts w:cs="Arial"/>
                <w:b/>
                <w:sz w:val="16"/>
                <w:szCs w:val="16"/>
              </w:rPr>
              <w:t xml:space="preserve">Version </w:t>
            </w:r>
            <w:r>
              <w:rPr>
                <w:rFonts w:cs="Arial"/>
                <w:b/>
                <w:sz w:val="16"/>
                <w:szCs w:val="16"/>
              </w:rPr>
              <w:t>2 (December 2015</w:t>
            </w:r>
            <w:r w:rsidRPr="008E56F9">
              <w:rPr>
                <w:rFonts w:cs="Arial"/>
                <w:b/>
                <w:sz w:val="16"/>
                <w:szCs w:val="16"/>
              </w:rPr>
              <w:t>)</w:t>
            </w:r>
          </w:p>
          <w:p w14:paraId="720F3FD7" w14:textId="77777777" w:rsidR="00F61251" w:rsidRDefault="00A942A3" w:rsidP="006426F6">
            <w:pPr>
              <w:pStyle w:val="NormalWeb"/>
              <w:shd w:val="clear" w:color="auto" w:fill="FFFFFF"/>
              <w:jc w:val="center"/>
            </w:pPr>
            <w:hyperlink r:id="rId1" w:history="1">
              <w:r w:rsidR="006426F6" w:rsidRPr="00C44532">
                <w:rPr>
                  <w:rStyle w:val="Hyperlink"/>
                  <w:rFonts w:cs="Arial"/>
                </w:rPr>
                <w:t>www.healthpromotercanada.com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Times New Roman"/>
        <w:szCs w:val="24"/>
      </w:rPr>
      <w:id w:val="150270079"/>
      <w:docPartObj>
        <w:docPartGallery w:val="Page Numbers (Bottom of Page)"/>
        <w:docPartUnique/>
      </w:docPartObj>
    </w:sdtPr>
    <w:sdtEndPr/>
    <w:sdtContent>
      <w:p w14:paraId="5271E321" w14:textId="77777777" w:rsidR="006426F6" w:rsidRPr="00E83055" w:rsidRDefault="006426F6" w:rsidP="006426F6">
        <w:pPr>
          <w:autoSpaceDE w:val="0"/>
          <w:autoSpaceDN w:val="0"/>
          <w:adjustRightInd w:val="0"/>
          <w:spacing w:after="0" w:line="240" w:lineRule="auto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Page </w:t>
        </w:r>
        <w:r w:rsidR="00702448" w:rsidRPr="008E56F9">
          <w:rPr>
            <w:rFonts w:cs="Arial"/>
            <w:sz w:val="16"/>
            <w:szCs w:val="16"/>
          </w:rPr>
          <w:fldChar w:fldCharType="begin"/>
        </w:r>
        <w:r w:rsidRPr="008E56F9">
          <w:rPr>
            <w:rFonts w:cs="Arial"/>
            <w:sz w:val="16"/>
            <w:szCs w:val="16"/>
          </w:rPr>
          <w:instrText xml:space="preserve"> PAGE   \* MERGEFORMAT </w:instrText>
        </w:r>
        <w:r w:rsidR="00702448" w:rsidRPr="008E56F9">
          <w:rPr>
            <w:rFonts w:cs="Arial"/>
            <w:sz w:val="16"/>
            <w:szCs w:val="16"/>
          </w:rPr>
          <w:fldChar w:fldCharType="separate"/>
        </w:r>
        <w:r w:rsidR="00A942A3">
          <w:rPr>
            <w:rFonts w:cs="Arial"/>
            <w:noProof/>
            <w:sz w:val="16"/>
            <w:szCs w:val="16"/>
          </w:rPr>
          <w:t>1</w:t>
        </w:r>
        <w:r w:rsidR="00702448" w:rsidRPr="008E56F9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ab/>
        </w:r>
        <w:r w:rsidRPr="008E56F9">
          <w:rPr>
            <w:rFonts w:cs="Arial"/>
            <w:b/>
            <w:sz w:val="16"/>
            <w:szCs w:val="16"/>
          </w:rPr>
          <w:t xml:space="preserve">Version </w:t>
        </w:r>
        <w:r>
          <w:rPr>
            <w:rFonts w:cs="Arial"/>
            <w:b/>
            <w:sz w:val="16"/>
            <w:szCs w:val="16"/>
          </w:rPr>
          <w:t>2 (December 2015</w:t>
        </w:r>
        <w:r w:rsidRPr="008E56F9">
          <w:rPr>
            <w:rFonts w:cs="Arial"/>
            <w:b/>
            <w:sz w:val="16"/>
            <w:szCs w:val="16"/>
          </w:rPr>
          <w:t>)</w:t>
        </w:r>
      </w:p>
      <w:p w14:paraId="76235B07" w14:textId="77777777" w:rsidR="006426F6" w:rsidRDefault="006426F6" w:rsidP="006426F6">
        <w:pPr>
          <w:autoSpaceDE w:val="0"/>
          <w:autoSpaceDN w:val="0"/>
          <w:adjustRightInd w:val="0"/>
          <w:spacing w:after="0" w:line="240" w:lineRule="auto"/>
          <w:rPr>
            <w:rFonts w:cs="Arial"/>
            <w:sz w:val="16"/>
            <w:szCs w:val="16"/>
          </w:rPr>
        </w:pPr>
      </w:p>
      <w:p w14:paraId="456806EA" w14:textId="77777777" w:rsidR="006426F6" w:rsidRDefault="006426F6" w:rsidP="006426F6">
        <w:pPr>
          <w:autoSpaceDE w:val="0"/>
          <w:autoSpaceDN w:val="0"/>
          <w:adjustRightInd w:val="0"/>
          <w:spacing w:after="0" w:line="240" w:lineRule="auto"/>
          <w:rPr>
            <w:rFonts w:cs="Arial"/>
            <w:sz w:val="16"/>
            <w:szCs w:val="16"/>
          </w:rPr>
        </w:pPr>
        <w:r w:rsidRPr="00E83055">
          <w:rPr>
            <w:rFonts w:cs="Arial"/>
            <w:sz w:val="16"/>
            <w:szCs w:val="16"/>
          </w:rPr>
          <w:t xml:space="preserve">The Pan-Canadian Committee on Health Promoter Competencies gratefully acknowledges the funding support provided by the Public Health Agency of Canada. </w:t>
        </w:r>
        <w:r w:rsidR="00ED7A49" w:rsidRPr="00ED7A49">
          <w:rPr>
            <w:sz w:val="16"/>
          </w:rPr>
          <w:t>The views expressed herein do not necessarily represent the views of the Public Health Agency of Canada</w:t>
        </w:r>
        <w:r w:rsidR="005F4DAB">
          <w:rPr>
            <w:sz w:val="16"/>
          </w:rPr>
          <w:t>.</w:t>
        </w:r>
      </w:p>
      <w:p w14:paraId="42DE2416" w14:textId="77777777" w:rsidR="00C01801" w:rsidRPr="006426F6" w:rsidRDefault="00A942A3" w:rsidP="006426F6">
        <w:pPr>
          <w:pStyle w:val="NormalWeb"/>
          <w:shd w:val="clear" w:color="auto" w:fill="FFFFFF"/>
          <w:spacing w:before="0" w:beforeAutospacing="0"/>
          <w:jc w:val="center"/>
          <w:rPr>
            <w:rFonts w:cs="Arial"/>
          </w:rPr>
        </w:pPr>
        <w:hyperlink r:id="rId1" w:history="1">
          <w:r w:rsidR="00480FE6" w:rsidRPr="004C7FBA">
            <w:rPr>
              <w:rStyle w:val="Hyperlink"/>
              <w:rFonts w:cs="Arial"/>
            </w:rPr>
            <w:t>www.healthpromotioncanada.ca</w:t>
          </w:r>
        </w:hyperlink>
        <w:r w:rsidR="00480FE6">
          <w:rPr>
            <w:rFonts w:cs="Arial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Times New Roman"/>
        <w:szCs w:val="24"/>
      </w:rPr>
      <w:id w:val="1179614684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1179614685"/>
          <w:docPartObj>
            <w:docPartGallery w:val="Page Numbers (Bottom of Page)"/>
            <w:docPartUnique/>
          </w:docPartObj>
        </w:sdtPr>
        <w:sdtEndPr/>
        <w:sdtContent>
          <w:p w14:paraId="47A185DD" w14:textId="77777777" w:rsidR="00BB7E4A" w:rsidRPr="00E83055" w:rsidRDefault="00BB7E4A" w:rsidP="006426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Page </w:t>
            </w:r>
            <w:r w:rsidR="00702448" w:rsidRPr="008E56F9">
              <w:rPr>
                <w:rFonts w:cs="Arial"/>
                <w:sz w:val="16"/>
                <w:szCs w:val="16"/>
              </w:rPr>
              <w:fldChar w:fldCharType="begin"/>
            </w:r>
            <w:r w:rsidRPr="008E56F9">
              <w:rPr>
                <w:rFonts w:cs="Arial"/>
                <w:sz w:val="16"/>
                <w:szCs w:val="16"/>
              </w:rPr>
              <w:instrText xml:space="preserve"> PAGE   \* MERGEFORMAT </w:instrText>
            </w:r>
            <w:r w:rsidR="00702448" w:rsidRPr="008E56F9">
              <w:rPr>
                <w:rFonts w:cs="Arial"/>
                <w:sz w:val="16"/>
                <w:szCs w:val="16"/>
              </w:rPr>
              <w:fldChar w:fldCharType="separate"/>
            </w:r>
            <w:r w:rsidR="00A942A3">
              <w:rPr>
                <w:rFonts w:cs="Arial"/>
                <w:noProof/>
                <w:sz w:val="16"/>
                <w:szCs w:val="16"/>
              </w:rPr>
              <w:t>12</w:t>
            </w:r>
            <w:r w:rsidR="00702448" w:rsidRPr="008E56F9">
              <w:rPr>
                <w:rFonts w:cs="Arial"/>
                <w:noProof/>
                <w:sz w:val="16"/>
                <w:szCs w:val="16"/>
              </w:rPr>
              <w:fldChar w:fldCharType="end"/>
            </w:r>
            <w:r>
              <w:rPr>
                <w:rFonts w:cs="Arial"/>
                <w:noProof/>
                <w:sz w:val="16"/>
                <w:szCs w:val="16"/>
              </w:rPr>
              <w:tab/>
            </w:r>
            <w:r>
              <w:rPr>
                <w:rFonts w:cs="Arial"/>
                <w:b/>
                <w:noProof/>
                <w:sz w:val="16"/>
                <w:szCs w:val="16"/>
              </w:rPr>
              <w:t xml:space="preserve">Self-Assessment Tool - </w:t>
            </w:r>
            <w:r w:rsidRPr="008E56F9">
              <w:rPr>
                <w:rFonts w:cs="Arial"/>
                <w:b/>
                <w:sz w:val="16"/>
                <w:szCs w:val="16"/>
              </w:rPr>
              <w:t xml:space="preserve">Version </w:t>
            </w:r>
            <w:r>
              <w:rPr>
                <w:rFonts w:cs="Arial"/>
                <w:b/>
                <w:sz w:val="16"/>
                <w:szCs w:val="16"/>
              </w:rPr>
              <w:t>2 (December 2015</w:t>
            </w:r>
            <w:r w:rsidRPr="008E56F9">
              <w:rPr>
                <w:rFonts w:cs="Arial"/>
                <w:b/>
                <w:sz w:val="16"/>
                <w:szCs w:val="16"/>
              </w:rPr>
              <w:t>)</w:t>
            </w:r>
          </w:p>
          <w:p w14:paraId="1A995C9C" w14:textId="77777777" w:rsidR="00BB7E4A" w:rsidRDefault="00A942A3" w:rsidP="006426F6">
            <w:pPr>
              <w:pStyle w:val="NormalWeb"/>
              <w:shd w:val="clear" w:color="auto" w:fill="FFFFFF"/>
              <w:jc w:val="center"/>
            </w:pPr>
            <w:hyperlink r:id="rId1" w:history="1">
              <w:r w:rsidR="00480FE6" w:rsidRPr="004C7FBA">
                <w:rPr>
                  <w:rStyle w:val="Hyperlink"/>
                  <w:rFonts w:cs="Arial"/>
                </w:rPr>
                <w:t>www.healthpromotioncanada.ca</w:t>
              </w:r>
            </w:hyperlink>
            <w:r w:rsidR="00480FE6">
              <w:rPr>
                <w:rFonts w:cs="Arial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61C74" w14:textId="77777777" w:rsidR="003C7883" w:rsidRDefault="003C7883" w:rsidP="00FE4040">
      <w:pPr>
        <w:spacing w:after="0" w:line="240" w:lineRule="auto"/>
      </w:pPr>
      <w:r>
        <w:separator/>
      </w:r>
    </w:p>
  </w:footnote>
  <w:footnote w:type="continuationSeparator" w:id="0">
    <w:p w14:paraId="74E0AB20" w14:textId="77777777" w:rsidR="003C7883" w:rsidRDefault="003C7883" w:rsidP="00FE4040">
      <w:pPr>
        <w:spacing w:after="0" w:line="240" w:lineRule="auto"/>
      </w:pPr>
      <w:r>
        <w:continuationSeparator/>
      </w:r>
    </w:p>
  </w:footnote>
  <w:footnote w:id="1">
    <w:p w14:paraId="42056CC7" w14:textId="77777777" w:rsidR="00C01801" w:rsidRPr="00ED7A49" w:rsidRDefault="00FE4040">
      <w:pPr>
        <w:pStyle w:val="FootnoteText"/>
        <w:rPr>
          <w:sz w:val="18"/>
        </w:rPr>
      </w:pPr>
      <w:r w:rsidRPr="00ED7A49">
        <w:rPr>
          <w:rStyle w:val="FootnoteReference"/>
          <w:sz w:val="18"/>
        </w:rPr>
        <w:footnoteRef/>
      </w:r>
      <w:r w:rsidRPr="00ED7A49">
        <w:rPr>
          <w:sz w:val="18"/>
        </w:rPr>
        <w:t xml:space="preserve"> A similar, but separate form is </w:t>
      </w:r>
      <w:r w:rsidRPr="000C459E">
        <w:rPr>
          <w:sz w:val="18"/>
        </w:rPr>
        <w:t>available</w:t>
      </w:r>
      <w:r w:rsidRPr="00ED7A49">
        <w:rPr>
          <w:sz w:val="18"/>
        </w:rPr>
        <w:t xml:space="preserve"> for the formal performance appraisal of employees. </w:t>
      </w:r>
    </w:p>
    <w:p w14:paraId="652AF8C4" w14:textId="77777777" w:rsidR="006426F6" w:rsidRPr="00FE4040" w:rsidRDefault="006426F6">
      <w:pPr>
        <w:pStyle w:val="FootnoteText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CE4A" w14:textId="77777777" w:rsidR="006426F6" w:rsidRDefault="006426F6" w:rsidP="006426F6">
    <w:pPr>
      <w:pStyle w:val="Header"/>
      <w:jc w:val="center"/>
    </w:pPr>
    <w:r w:rsidRPr="006426F6">
      <w:rPr>
        <w:noProof/>
        <w:lang w:val="en-US" w:eastAsia="en-US"/>
      </w:rPr>
      <w:drawing>
        <wp:inline distT="0" distB="0" distL="0" distR="0" wp14:anchorId="3B2E1DF2" wp14:editId="733F9DC2">
          <wp:extent cx="4191000" cy="815340"/>
          <wp:effectExtent l="19050" t="0" r="0" b="0"/>
          <wp:docPr id="4" name="Picture 3" descr="Pan Canadian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 Canadian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06F061" w14:textId="77777777" w:rsidR="006426F6" w:rsidRDefault="006426F6" w:rsidP="006426F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9F19F" w14:textId="4F38DC8F" w:rsidR="00ED7A49" w:rsidRDefault="00A942A3" w:rsidP="00480FE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3724B77" wp14:editId="62C5F530">
          <wp:extent cx="3909456" cy="107844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 Canada Logo Tight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790" cy="107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4FDA" w14:textId="77777777" w:rsidR="00BB7E4A" w:rsidRDefault="00BB7E4A" w:rsidP="006426F6">
    <w:pPr>
      <w:pStyle w:val="Header"/>
      <w:jc w:val="center"/>
    </w:pPr>
  </w:p>
  <w:p w14:paraId="3D7F3E41" w14:textId="77777777" w:rsidR="00BB7E4A" w:rsidRDefault="00BB7E4A" w:rsidP="006426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ADA"/>
    <w:multiLevelType w:val="hybridMultilevel"/>
    <w:tmpl w:val="034A6560"/>
    <w:lvl w:ilvl="0" w:tplc="65B8B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2A194B"/>
    <w:multiLevelType w:val="hybridMultilevel"/>
    <w:tmpl w:val="24FA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047E7"/>
    <w:multiLevelType w:val="hybridMultilevel"/>
    <w:tmpl w:val="68865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C53A2"/>
    <w:multiLevelType w:val="hybridMultilevel"/>
    <w:tmpl w:val="865026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D129A"/>
    <w:multiLevelType w:val="hybridMultilevel"/>
    <w:tmpl w:val="FFE45EC0"/>
    <w:lvl w:ilvl="0" w:tplc="C7D612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B7D6B67"/>
    <w:multiLevelType w:val="hybridMultilevel"/>
    <w:tmpl w:val="38441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F3"/>
    <w:rsid w:val="00051B15"/>
    <w:rsid w:val="00063C13"/>
    <w:rsid w:val="00080969"/>
    <w:rsid w:val="00097594"/>
    <w:rsid w:val="000B175B"/>
    <w:rsid w:val="000B4D9C"/>
    <w:rsid w:val="000C459E"/>
    <w:rsid w:val="000E3B8B"/>
    <w:rsid w:val="000E4908"/>
    <w:rsid w:val="0010599B"/>
    <w:rsid w:val="00114349"/>
    <w:rsid w:val="00116811"/>
    <w:rsid w:val="0013001C"/>
    <w:rsid w:val="001806BB"/>
    <w:rsid w:val="00194F17"/>
    <w:rsid w:val="001B7B65"/>
    <w:rsid w:val="001C5604"/>
    <w:rsid w:val="001E4098"/>
    <w:rsid w:val="00216ACA"/>
    <w:rsid w:val="002170ED"/>
    <w:rsid w:val="00231DB5"/>
    <w:rsid w:val="002340A9"/>
    <w:rsid w:val="00283EC6"/>
    <w:rsid w:val="002957F7"/>
    <w:rsid w:val="002A52CC"/>
    <w:rsid w:val="002E0300"/>
    <w:rsid w:val="002F55D8"/>
    <w:rsid w:val="00324F67"/>
    <w:rsid w:val="00332CA3"/>
    <w:rsid w:val="003421A0"/>
    <w:rsid w:val="00353D99"/>
    <w:rsid w:val="00380547"/>
    <w:rsid w:val="003A648C"/>
    <w:rsid w:val="003B603F"/>
    <w:rsid w:val="003C0020"/>
    <w:rsid w:val="003C7883"/>
    <w:rsid w:val="003D5A95"/>
    <w:rsid w:val="003F0562"/>
    <w:rsid w:val="003F309D"/>
    <w:rsid w:val="003F434D"/>
    <w:rsid w:val="0042679A"/>
    <w:rsid w:val="00442DA9"/>
    <w:rsid w:val="00480FE6"/>
    <w:rsid w:val="0048230E"/>
    <w:rsid w:val="004835E9"/>
    <w:rsid w:val="0049564C"/>
    <w:rsid w:val="004D26DB"/>
    <w:rsid w:val="004E20B8"/>
    <w:rsid w:val="0051722F"/>
    <w:rsid w:val="00534343"/>
    <w:rsid w:val="005648F2"/>
    <w:rsid w:val="00572F6B"/>
    <w:rsid w:val="00586955"/>
    <w:rsid w:val="00591737"/>
    <w:rsid w:val="005A70C4"/>
    <w:rsid w:val="005B15BE"/>
    <w:rsid w:val="005F36D3"/>
    <w:rsid w:val="005F4DAB"/>
    <w:rsid w:val="00634A18"/>
    <w:rsid w:val="006426F6"/>
    <w:rsid w:val="00647A3A"/>
    <w:rsid w:val="00655E15"/>
    <w:rsid w:val="006560C0"/>
    <w:rsid w:val="00657034"/>
    <w:rsid w:val="00660FB2"/>
    <w:rsid w:val="006666CA"/>
    <w:rsid w:val="006B26C0"/>
    <w:rsid w:val="006D3D8B"/>
    <w:rsid w:val="006D4CF3"/>
    <w:rsid w:val="00702448"/>
    <w:rsid w:val="007037DB"/>
    <w:rsid w:val="007548CB"/>
    <w:rsid w:val="007869C4"/>
    <w:rsid w:val="007A332A"/>
    <w:rsid w:val="007E68F1"/>
    <w:rsid w:val="008079E0"/>
    <w:rsid w:val="0081743F"/>
    <w:rsid w:val="00824845"/>
    <w:rsid w:val="00826FAE"/>
    <w:rsid w:val="00836BE0"/>
    <w:rsid w:val="0084190D"/>
    <w:rsid w:val="00845CC8"/>
    <w:rsid w:val="008A4271"/>
    <w:rsid w:val="008B18F6"/>
    <w:rsid w:val="008D6476"/>
    <w:rsid w:val="008D7AF0"/>
    <w:rsid w:val="008E63DE"/>
    <w:rsid w:val="0092418B"/>
    <w:rsid w:val="00944F72"/>
    <w:rsid w:val="009523DA"/>
    <w:rsid w:val="009E61E1"/>
    <w:rsid w:val="00A250A4"/>
    <w:rsid w:val="00A379D2"/>
    <w:rsid w:val="00A408FA"/>
    <w:rsid w:val="00A81CBE"/>
    <w:rsid w:val="00A85CF7"/>
    <w:rsid w:val="00A942A3"/>
    <w:rsid w:val="00B063FB"/>
    <w:rsid w:val="00B13E8F"/>
    <w:rsid w:val="00B14ED0"/>
    <w:rsid w:val="00B2078E"/>
    <w:rsid w:val="00B2513C"/>
    <w:rsid w:val="00BB7E4A"/>
    <w:rsid w:val="00BD4A08"/>
    <w:rsid w:val="00BE4C06"/>
    <w:rsid w:val="00BF5F4A"/>
    <w:rsid w:val="00C00A7E"/>
    <w:rsid w:val="00C01801"/>
    <w:rsid w:val="00C02481"/>
    <w:rsid w:val="00C10E6B"/>
    <w:rsid w:val="00C22519"/>
    <w:rsid w:val="00C34FE9"/>
    <w:rsid w:val="00C575AA"/>
    <w:rsid w:val="00CB6FF8"/>
    <w:rsid w:val="00CD59BA"/>
    <w:rsid w:val="00D406F4"/>
    <w:rsid w:val="00D443D8"/>
    <w:rsid w:val="00D676CF"/>
    <w:rsid w:val="00D74A48"/>
    <w:rsid w:val="00D8342E"/>
    <w:rsid w:val="00D905E8"/>
    <w:rsid w:val="00D912C1"/>
    <w:rsid w:val="00DC2E4C"/>
    <w:rsid w:val="00DC713D"/>
    <w:rsid w:val="00DE43A6"/>
    <w:rsid w:val="00DF356F"/>
    <w:rsid w:val="00E234BF"/>
    <w:rsid w:val="00E3159E"/>
    <w:rsid w:val="00E658F4"/>
    <w:rsid w:val="00EB121E"/>
    <w:rsid w:val="00EC6CF7"/>
    <w:rsid w:val="00EC7190"/>
    <w:rsid w:val="00ED265E"/>
    <w:rsid w:val="00ED7A49"/>
    <w:rsid w:val="00EE15E6"/>
    <w:rsid w:val="00EE2A03"/>
    <w:rsid w:val="00EF1765"/>
    <w:rsid w:val="00EF2763"/>
    <w:rsid w:val="00EF6993"/>
    <w:rsid w:val="00F04023"/>
    <w:rsid w:val="00F0616D"/>
    <w:rsid w:val="00F3588D"/>
    <w:rsid w:val="00F574EA"/>
    <w:rsid w:val="00F61251"/>
    <w:rsid w:val="00F9270B"/>
    <w:rsid w:val="00F95EF6"/>
    <w:rsid w:val="00FA5A52"/>
    <w:rsid w:val="00FB77C7"/>
    <w:rsid w:val="00FE404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E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F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6F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13"/>
    <w:pPr>
      <w:keepNext/>
      <w:keepLines/>
      <w:spacing w:before="200" w:after="0"/>
      <w:outlineLvl w:val="1"/>
    </w:pPr>
    <w:rPr>
      <w:rFonts w:ascii="Times New Roman Bold" w:eastAsiaTheme="majorEastAsia" w:hAnsi="Times New Roman 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C1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C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6F6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C13"/>
    <w:rPr>
      <w:rFonts w:ascii="Times New Roman Bold" w:eastAsiaTheme="majorEastAsia" w:hAnsi="Times New Roman Bold" w:cstheme="majorBidi"/>
      <w:b/>
      <w:bCs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3C13"/>
    <w:rPr>
      <w:rFonts w:ascii="Times New Roman" w:eastAsiaTheme="majorEastAsia" w:hAnsi="Times New Roman" w:cstheme="majorBidi"/>
      <w:b/>
      <w:bCs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63C13"/>
    <w:rPr>
      <w:rFonts w:ascii="Times New Roman" w:eastAsiaTheme="majorEastAsia" w:hAnsi="Times New Roman" w:cstheme="majorBidi"/>
      <w:b/>
      <w:bCs/>
      <w:iCs/>
      <w:sz w:val="24"/>
      <w:u w:val="single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C13"/>
    <w:pPr>
      <w:spacing w:line="240" w:lineRule="auto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ED7A49"/>
    <w:pPr>
      <w:spacing w:after="0" w:line="240" w:lineRule="auto"/>
    </w:pPr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D7A49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13"/>
    <w:pPr>
      <w:outlineLvl w:val="9"/>
    </w:pPr>
    <w:rPr>
      <w:rFonts w:asciiTheme="majorHAnsi" w:hAnsiTheme="majorHAnsi"/>
      <w:caps/>
      <w:color w:val="365F91" w:themeColor="accent1" w:themeShade="BF"/>
      <w:lang w:val="en-US"/>
    </w:rPr>
  </w:style>
  <w:style w:type="table" w:styleId="TableGrid">
    <w:name w:val="Table Grid"/>
    <w:basedOn w:val="TableNormal"/>
    <w:uiPriority w:val="59"/>
    <w:rsid w:val="00CD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34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040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4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4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40"/>
    <w:rPr>
      <w:rFonts w:ascii="Times New Roman" w:hAnsi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8E63DE"/>
  </w:style>
  <w:style w:type="character" w:styleId="Hyperlink">
    <w:name w:val="Hyperlink"/>
    <w:uiPriority w:val="99"/>
    <w:unhideWhenUsed/>
    <w:rsid w:val="006426F6"/>
    <w:rPr>
      <w:color w:val="0000FF"/>
      <w:u w:val="single"/>
    </w:rPr>
  </w:style>
  <w:style w:type="paragraph" w:styleId="NormalWeb">
    <w:name w:val="Normal (Web)"/>
    <w:basedOn w:val="Normal"/>
    <w:unhideWhenUsed/>
    <w:rsid w:val="006426F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F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6F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13"/>
    <w:pPr>
      <w:keepNext/>
      <w:keepLines/>
      <w:spacing w:before="200" w:after="0"/>
      <w:outlineLvl w:val="1"/>
    </w:pPr>
    <w:rPr>
      <w:rFonts w:ascii="Times New Roman Bold" w:eastAsiaTheme="majorEastAsia" w:hAnsi="Times New Roman 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C1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C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6F6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C13"/>
    <w:rPr>
      <w:rFonts w:ascii="Times New Roman Bold" w:eastAsiaTheme="majorEastAsia" w:hAnsi="Times New Roman Bold" w:cstheme="majorBidi"/>
      <w:b/>
      <w:bCs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3C13"/>
    <w:rPr>
      <w:rFonts w:ascii="Times New Roman" w:eastAsiaTheme="majorEastAsia" w:hAnsi="Times New Roman" w:cstheme="majorBidi"/>
      <w:b/>
      <w:bCs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63C13"/>
    <w:rPr>
      <w:rFonts w:ascii="Times New Roman" w:eastAsiaTheme="majorEastAsia" w:hAnsi="Times New Roman" w:cstheme="majorBidi"/>
      <w:b/>
      <w:bCs/>
      <w:iCs/>
      <w:sz w:val="24"/>
      <w:u w:val="single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C13"/>
    <w:pPr>
      <w:spacing w:line="240" w:lineRule="auto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ED7A49"/>
    <w:pPr>
      <w:spacing w:after="0" w:line="240" w:lineRule="auto"/>
    </w:pPr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D7A49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13"/>
    <w:pPr>
      <w:outlineLvl w:val="9"/>
    </w:pPr>
    <w:rPr>
      <w:rFonts w:asciiTheme="majorHAnsi" w:hAnsiTheme="majorHAnsi"/>
      <w:caps/>
      <w:color w:val="365F91" w:themeColor="accent1" w:themeShade="BF"/>
      <w:lang w:val="en-US"/>
    </w:rPr>
  </w:style>
  <w:style w:type="table" w:styleId="TableGrid">
    <w:name w:val="Table Grid"/>
    <w:basedOn w:val="TableNormal"/>
    <w:uiPriority w:val="59"/>
    <w:rsid w:val="00CD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34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0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4040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E4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40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40"/>
    <w:rPr>
      <w:rFonts w:ascii="Times New Roman" w:hAnsi="Times New Roman"/>
      <w:sz w:val="24"/>
      <w:lang w:val="en-GB"/>
    </w:rPr>
  </w:style>
  <w:style w:type="character" w:customStyle="1" w:styleId="apple-converted-space">
    <w:name w:val="apple-converted-space"/>
    <w:basedOn w:val="DefaultParagraphFont"/>
    <w:rsid w:val="008E63DE"/>
  </w:style>
  <w:style w:type="character" w:styleId="Hyperlink">
    <w:name w:val="Hyperlink"/>
    <w:uiPriority w:val="99"/>
    <w:unhideWhenUsed/>
    <w:rsid w:val="006426F6"/>
    <w:rPr>
      <w:color w:val="0000FF"/>
      <w:u w:val="single"/>
    </w:rPr>
  </w:style>
  <w:style w:type="paragraph" w:styleId="NormalWeb">
    <w:name w:val="Normal (Web)"/>
    <w:basedOn w:val="Normal"/>
    <w:unhideWhenUsed/>
    <w:rsid w:val="006426F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ercanad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ioncanada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ioncanad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2025</Words>
  <Characters>11547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Fortin</dc:creator>
  <cp:lastModifiedBy>Rebecca Fortin</cp:lastModifiedBy>
  <cp:revision>4</cp:revision>
  <cp:lastPrinted>2014-12-01T17:19:00Z</cp:lastPrinted>
  <dcterms:created xsi:type="dcterms:W3CDTF">2017-01-02T23:06:00Z</dcterms:created>
  <dcterms:modified xsi:type="dcterms:W3CDTF">2017-03-05T18:12:00Z</dcterms:modified>
</cp:coreProperties>
</file>